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6</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rPr>
        <w:t>R2-2405012</w:t>
      </w:r>
    </w:p>
    <w:p>
      <w:pPr>
        <w:widowControl w:val="0"/>
        <w:tabs>
          <w:tab w:val="left" w:pos="1701"/>
          <w:tab w:val="right" w:pos="9923"/>
        </w:tabs>
        <w:spacing w:before="120"/>
        <w:jc w:val="both"/>
        <w:outlineLvl w:val="0"/>
        <w:rPr>
          <w:rFonts w:hint="eastAsia" w:eastAsiaTheme="minorEastAsia"/>
          <w:b/>
          <w:sz w:val="24"/>
          <w:lang w:val="en-US" w:eastAsia="zh-CN"/>
        </w:rPr>
      </w:pPr>
      <w:r>
        <w:rPr>
          <w:rFonts w:hint="eastAsia" w:ascii="Arial" w:hAnsi="Arial" w:cs="Arial"/>
          <w:b/>
          <w:bCs/>
          <w:sz w:val="28"/>
          <w:szCs w:val="28"/>
          <w:lang w:val="en-US" w:eastAsia="zh-CN"/>
        </w:rPr>
        <w:t>Fukuoka, Japan, May 20 - 24, 2024</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7"/>
      <w:bookmarkStart w:id="3" w:name="OLE_LINK58"/>
      <w:r>
        <w:t>Introduction</w:t>
      </w:r>
      <w:bookmarkEnd w:id="2"/>
      <w:bookmarkEnd w:id="3"/>
    </w:p>
    <w:p>
      <w:pPr>
        <w:spacing w:after="0"/>
        <w:ind w:left="720"/>
        <w:jc w:val="both"/>
        <w:rPr>
          <w:bCs/>
        </w:rPr>
      </w:pPr>
      <w:bookmarkStart w:id="4" w:name="OLE_LINK72"/>
      <w:bookmarkStart w:id="5" w:name="OLE_LINK71"/>
      <w:r>
        <w:rPr>
          <w:rFonts w:hint="eastAsia"/>
          <w:highlight w:val="none"/>
          <w:lang w:val="en-US" w:eastAsia="zh-CN"/>
        </w:rPr>
        <w:t>S</w:t>
      </w:r>
      <w:r>
        <w:rPr>
          <w:highlight w:val="none"/>
        </w:rPr>
        <w:t>upport</w:t>
      </w:r>
      <w:r>
        <w:rPr>
          <w:rFonts w:hint="eastAsia"/>
          <w:highlight w:val="none"/>
          <w:lang w:val="en-US" w:eastAsia="zh-CN"/>
        </w:rPr>
        <w:t>ing</w:t>
      </w:r>
      <w:r>
        <w:rPr>
          <w:highlight w:val="none"/>
        </w:rPr>
        <w:t xml:space="preserve"> </w:t>
      </w:r>
      <w:r>
        <w:rPr>
          <w:rFonts w:hint="eastAsia"/>
          <w:highlight w:val="none"/>
          <w:lang w:val="en-US" w:eastAsia="zh-CN"/>
        </w:rPr>
        <w:t xml:space="preserve">for </w:t>
      </w:r>
      <w:r>
        <w:t>S&amp;F operation is key to facilitate cost-effective deployment of IoT NTN services and enable an immediate operational service with (1) sparse LEO constellations and (2) reduced ground segment infrastructure</w:t>
      </w:r>
      <w:r>
        <w:rPr>
          <w:rFonts w:hint="eastAsia"/>
          <w:highlight w:val="none"/>
          <w:lang w:val="en-US" w:eastAsia="zh-CN"/>
        </w:rPr>
        <w:t xml:space="preserve">. </w:t>
      </w:r>
    </w:p>
    <w:p>
      <w:pPr>
        <w:adjustRightInd/>
        <w:spacing w:after="240" w:line="259" w:lineRule="auto"/>
        <w:contextualSpacing/>
        <w:jc w:val="both"/>
      </w:pPr>
      <w:r>
        <w:rPr>
          <w:rFonts w:hint="eastAsia"/>
          <w:highlight w:val="none"/>
          <w:lang w:val="en-US" w:eastAsia="zh-CN"/>
        </w:rPr>
        <w:t>In the last RAN2#125bis meeting, the following agreements [1] had been approved as below:</w:t>
      </w:r>
    </w:p>
    <w:p>
      <w:pPr>
        <w:pStyle w:val="295"/>
        <w:pBdr>
          <w:top w:val="single" w:color="auto" w:sz="4" w:space="1"/>
          <w:left w:val="single" w:color="auto" w:sz="4" w:space="4"/>
          <w:bottom w:val="single" w:color="auto" w:sz="4" w:space="1"/>
          <w:right w:val="single" w:color="auto" w:sz="4" w:space="4"/>
        </w:pBdr>
        <w:rPr>
          <w:b/>
          <w:bCs/>
        </w:rPr>
      </w:pPr>
      <w:r>
        <w:rPr>
          <w:b/>
          <w:bCs/>
        </w:rPr>
        <w:t>RAN2 assumptions:</w:t>
      </w:r>
    </w:p>
    <w:p>
      <w:pPr>
        <w:pStyle w:val="295"/>
        <w:numPr>
          <w:ilvl w:val="0"/>
          <w:numId w:val="28"/>
        </w:numPr>
        <w:pBdr>
          <w:top w:val="single" w:color="auto" w:sz="4" w:space="1"/>
          <w:left w:val="single" w:color="auto" w:sz="4" w:space="4"/>
          <w:bottom w:val="single" w:color="auto" w:sz="4" w:space="1"/>
          <w:right w:val="single" w:color="auto" w:sz="4" w:space="4"/>
        </w:pBdr>
        <w:rPr>
          <w:b/>
          <w:bCs/>
        </w:rPr>
      </w:pPr>
      <w:r>
        <w:rPr>
          <w:b/>
          <w:bCs/>
        </w:rPr>
        <w:t>S&amp;F implies that at least the full eNB will be onboard</w:t>
      </w:r>
    </w:p>
    <w:p>
      <w:pPr>
        <w:pStyle w:val="295"/>
        <w:numPr>
          <w:ilvl w:val="0"/>
          <w:numId w:val="28"/>
        </w:numPr>
        <w:pBdr>
          <w:top w:val="single" w:color="auto" w:sz="4" w:space="1"/>
          <w:left w:val="single" w:color="auto" w:sz="4" w:space="4"/>
          <w:bottom w:val="single" w:color="auto" w:sz="4" w:space="1"/>
          <w:right w:val="single" w:color="auto" w:sz="4" w:space="4"/>
        </w:pBdr>
        <w:rPr>
          <w:b/>
          <w:bCs/>
        </w:rPr>
      </w:pPr>
      <w:r>
        <w:rPr>
          <w:b/>
          <w:bCs/>
        </w:rPr>
        <w:t xml:space="preserve">An IoT NTN network shall be able to inform UE(s) </w:t>
      </w:r>
      <w:r>
        <w:rPr>
          <w:b/>
          <w:bCs/>
          <w:highlight w:val="yellow"/>
        </w:rPr>
        <w:t>whether S&amp;F Satellite operation is applied</w:t>
      </w:r>
      <w:r>
        <w:rPr>
          <w:b/>
          <w:bCs/>
        </w:rPr>
        <w:t>, either via N</w:t>
      </w:r>
      <w:bookmarkStart w:id="7" w:name="_GoBack"/>
      <w:bookmarkEnd w:id="7"/>
      <w:r>
        <w:rPr>
          <w:b/>
          <w:bCs/>
        </w:rPr>
        <w:t>AS or AS (wait for SA2 progress on this)</w:t>
      </w:r>
    </w:p>
    <w:p>
      <w:pPr>
        <w:pStyle w:val="295"/>
        <w:pBdr>
          <w:top w:val="single" w:color="auto" w:sz="4" w:space="1"/>
          <w:left w:val="single" w:color="auto" w:sz="4" w:space="4"/>
          <w:bottom w:val="single" w:color="auto" w:sz="4" w:space="1"/>
          <w:right w:val="single" w:color="auto" w:sz="4" w:space="4"/>
        </w:pBdr>
        <w:rPr>
          <w:b/>
          <w:bCs/>
        </w:rPr>
      </w:pPr>
      <w:r>
        <w:rPr>
          <w:b/>
          <w:bCs/>
        </w:rPr>
        <w:t>3.</w:t>
      </w:r>
      <w:r>
        <w:rPr>
          <w:b/>
          <w:bCs/>
        </w:rPr>
        <w:tab/>
      </w:r>
      <w:r>
        <w:rPr>
          <w:b/>
          <w:bCs/>
        </w:rPr>
        <w:t>The S&amp;F satellite operation is common for NB-IoT and eMTC.</w:t>
      </w:r>
    </w:p>
    <w:p>
      <w:pPr>
        <w:pStyle w:val="295"/>
        <w:pBdr>
          <w:top w:val="single" w:color="auto" w:sz="4" w:space="1"/>
          <w:left w:val="single" w:color="auto" w:sz="4" w:space="4"/>
          <w:bottom w:val="single" w:color="auto" w:sz="4" w:space="1"/>
          <w:right w:val="single" w:color="auto" w:sz="4" w:space="4"/>
        </w:pBdr>
        <w:rPr>
          <w:b/>
          <w:bCs/>
        </w:rPr>
      </w:pPr>
      <w:r>
        <w:rPr>
          <w:b/>
          <w:bCs/>
        </w:rPr>
        <w:t>4.</w:t>
      </w:r>
      <w:r>
        <w:rPr>
          <w:b/>
          <w:bCs/>
        </w:rPr>
        <w:tab/>
      </w:r>
      <w:r>
        <w:rPr>
          <w:b/>
          <w:bCs/>
        </w:rPr>
        <w:t>The S&amp;F satellite operation is applied to both CP solution and UP solution (for the UP solution pending on SA2 conclusions on the architecture)</w:t>
      </w:r>
    </w:p>
    <w:p>
      <w:pPr>
        <w:adjustRightInd/>
        <w:spacing w:after="240" w:line="259" w:lineRule="auto"/>
        <w:contextualSpacing/>
        <w:jc w:val="both"/>
        <w:rPr>
          <w:rFonts w:hint="eastAsia"/>
          <w:highlight w:val="none"/>
          <w:lang w:val="en-US" w:eastAsia="zh-CN"/>
        </w:rPr>
      </w:pPr>
      <w:r>
        <w:rPr>
          <w:rFonts w:hint="eastAsia"/>
          <w:highlight w:val="none"/>
          <w:lang w:val="en-US" w:eastAsia="zh-CN"/>
        </w:rPr>
        <w:t>Meanwhile, as the agreed timeline of IoT NTN S&amp;F topic, we will continue to discuss high level discussion on RAN2 related aspects in Q2.</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widowControl w:val="0"/>
        <w:jc w:val="both"/>
        <w:rPr>
          <w:rFonts w:hint="default"/>
          <w:lang w:val="en-US" w:eastAsia="zh-CN"/>
        </w:rPr>
      </w:pPr>
      <w:r>
        <w:rPr>
          <w:rFonts w:hint="default"/>
          <w:lang w:val="en-US" w:eastAsia="zh-CN"/>
        </w:rPr>
        <w:t>Access control</w:t>
      </w:r>
    </w:p>
    <w:p>
      <w:pPr>
        <w:widowControl w:val="0"/>
        <w:numPr>
          <w:ilvl w:val="0"/>
          <w:numId w:val="0"/>
        </w:numPr>
        <w:jc w:val="both"/>
        <w:rPr>
          <w:rFonts w:hint="default" w:eastAsia="宋体"/>
          <w:b w:val="0"/>
          <w:bCs w:val="0"/>
          <w:lang w:val="en-US" w:eastAsia="zh-CN"/>
        </w:rPr>
      </w:pPr>
      <w:r>
        <w:rPr>
          <w:rFonts w:hint="eastAsia" w:eastAsia="宋体"/>
          <w:b w:val="0"/>
          <w:bCs w:val="0"/>
          <w:lang w:val="en-US" w:eastAsia="zh-CN"/>
        </w:rPr>
        <w:t>In the last meeting, it is agreed to wait on SA2 progress to decide whether the network informs UE S&amp;F operation through NSA signalling or SIB message. RAN2 can not directly decide on itself as SA2 may have such kind of conclusion of informing UE the S&amp;F operation through NAS signaling. However, in our opinion, no matter which kind of method is used at last, UE needs to notify the network that it has the capability to supporting S&amp;F operation. In other words, the base station on the satellite needs to be awareness of UE capability on supporting S&amp;F operation. Thus, UE capability of S&amp;F operation can be supported first.</w:t>
      </w:r>
    </w:p>
    <w:p>
      <w:pPr>
        <w:widowControl w:val="0"/>
        <w:numPr>
          <w:ilvl w:val="0"/>
          <w:numId w:val="0"/>
        </w:numPr>
        <w:jc w:val="both"/>
        <w:rPr>
          <w:rFonts w:hint="eastAsia" w:eastAsia="宋体"/>
          <w:b/>
          <w:bCs/>
          <w:lang w:val="en-US" w:eastAsia="zh-CN"/>
        </w:rPr>
      </w:pPr>
      <w:r>
        <w:rPr>
          <w:rFonts w:hint="eastAsia" w:eastAsia="宋体"/>
          <w:b/>
          <w:bCs/>
          <w:lang w:val="en-US" w:eastAsia="zh-CN"/>
        </w:rPr>
        <w:t>Proposal 1</w:t>
      </w:r>
      <w:r>
        <w:rPr>
          <w:rFonts w:hint="default" w:eastAsia="宋体"/>
          <w:b/>
          <w:bCs/>
          <w:lang w:val="en-US" w:eastAsia="zh-CN"/>
        </w:rPr>
        <w:t xml:space="preserve">: </w:t>
      </w:r>
      <w:r>
        <w:rPr>
          <w:rFonts w:hint="eastAsia" w:eastAsia="宋体"/>
          <w:b/>
          <w:bCs/>
          <w:lang w:val="en-US" w:eastAsia="zh-CN"/>
        </w:rPr>
        <w:t>It is proposed to add new UE capability to</w:t>
      </w:r>
      <w:r>
        <w:rPr>
          <w:rFonts w:hint="default" w:eastAsia="宋体"/>
          <w:b/>
          <w:bCs/>
          <w:lang w:val="en-US" w:eastAsia="zh-CN"/>
        </w:rPr>
        <w:t xml:space="preserve"> support S&amp;F </w:t>
      </w:r>
      <w:r>
        <w:rPr>
          <w:rFonts w:hint="eastAsia" w:eastAsia="宋体"/>
          <w:b/>
          <w:bCs/>
          <w:lang w:val="en-US" w:eastAsia="zh-CN"/>
        </w:rPr>
        <w:t>operation</w:t>
      </w:r>
      <w:r>
        <w:rPr>
          <w:rFonts w:hint="default" w:eastAsia="宋体"/>
          <w:b/>
          <w:bCs/>
          <w:lang w:val="en-US" w:eastAsia="zh-CN"/>
        </w:rPr>
        <w:t>.</w:t>
      </w:r>
      <w:r>
        <w:rPr>
          <w:rFonts w:hint="eastAsia" w:eastAsia="宋体"/>
          <w:b/>
          <w:bCs/>
          <w:lang w:val="en-US" w:eastAsia="zh-CN"/>
        </w:rPr>
        <w:t xml:space="preserve"> </w:t>
      </w:r>
    </w:p>
    <w:p>
      <w:pPr>
        <w:widowControl w:val="0"/>
        <w:numPr>
          <w:ilvl w:val="0"/>
          <w:numId w:val="0"/>
        </w:numPr>
        <w:jc w:val="both"/>
        <w:rPr>
          <w:rFonts w:hint="eastAsia" w:eastAsia="宋体"/>
          <w:b/>
          <w:bCs/>
          <w:lang w:val="en-US" w:eastAsia="zh-CN"/>
        </w:rPr>
      </w:pPr>
    </w:p>
    <w:p>
      <w:pPr>
        <w:pStyle w:val="3"/>
        <w:widowControl w:val="0"/>
        <w:jc w:val="both"/>
        <w:rPr>
          <w:rFonts w:hint="default" w:eastAsiaTheme="minorEastAsia"/>
          <w:b w:val="0"/>
          <w:bCs w:val="0"/>
          <w:highlight w:val="none"/>
          <w:lang w:val="en-US" w:eastAsia="zh-CN"/>
        </w:rPr>
      </w:pPr>
      <w:r>
        <w:rPr>
          <w:rFonts w:hint="default" w:eastAsiaTheme="minorEastAsia"/>
          <w:b w:val="0"/>
          <w:bCs w:val="0"/>
          <w:highlight w:val="none"/>
          <w:lang w:val="en-US" w:eastAsia="zh-CN"/>
        </w:rPr>
        <w:t>Priority</w:t>
      </w:r>
    </w:p>
    <w:p>
      <w:pPr>
        <w:jc w:val="both"/>
        <w:rPr>
          <w:rFonts w:hint="default" w:eastAsia="宋体"/>
          <w:b w:val="0"/>
          <w:bCs/>
          <w:lang w:val="en-US" w:eastAsia="zh-CN"/>
        </w:rPr>
      </w:pPr>
      <w:r>
        <w:rPr>
          <w:rFonts w:hint="eastAsia"/>
          <w:b w:val="0"/>
          <w:bCs/>
          <w:szCs w:val="20"/>
          <w:lang w:val="en-US" w:eastAsia="zh-CN"/>
        </w:rPr>
        <w:t>The priority between normal IoT-NTN and IoT-NTN S&amp;F operation also needs to be considered. That means if both normal IoT-NTN cell and IoT-NTN S&amp;F cell are available, which cell is UE going to camp? In our opinion, since IoT-NTN S&amp;F mode has huge delay influence and is only suitable for delay-tolerant service, if normal IoT-NTN cell and IoT-NTN S&amp;F cell are both available, UE will select normal IoT NTN cell for better service experience. Only when there is no available normal IoT NTN cell, UE supporting S&amp;F mode will try to camp on the S&amp;F cell. Besides, when the service link is not available, UE has to store UL data till the satellite comes back. Thus, if UE detects there is a normal IoT-NTN cell available (served by the same core network), UE can also try to camp on to finish data transmission.</w:t>
      </w:r>
    </w:p>
    <w:p>
      <w:pPr>
        <w:widowControl w:val="0"/>
        <w:numPr>
          <w:ilvl w:val="0"/>
          <w:numId w:val="0"/>
        </w:numPr>
        <w:jc w:val="both"/>
        <w:rPr>
          <w:rFonts w:hint="default" w:ascii="Times New Roman Bold" w:hAnsi="Times New Roman Bold" w:cs="Times New Roman Bold"/>
          <w:b/>
          <w:bCs w:val="0"/>
          <w:szCs w:val="20"/>
          <w:lang w:val="en-US" w:eastAsia="zh-CN"/>
        </w:rPr>
      </w:pPr>
      <w:r>
        <w:rPr>
          <w:rFonts w:hint="default" w:ascii="Times New Roman Bold" w:hAnsi="Times New Roman Bold" w:cs="Times New Roman Bold"/>
          <w:b/>
          <w:bCs w:val="0"/>
          <w:szCs w:val="20"/>
          <w:lang w:val="en-US" w:eastAsia="zh-CN"/>
        </w:rPr>
        <w:t xml:space="preserve">Observation 1: UE supporting IoT-NTN S&amp;F operation can also camp on normal </w:t>
      </w:r>
      <w:r>
        <w:rPr>
          <w:rFonts w:hint="eastAsia" w:ascii="Times New Roman Bold" w:hAnsi="Times New Roman Bold" w:cs="Times New Roman Bold"/>
          <w:b/>
          <w:bCs w:val="0"/>
          <w:szCs w:val="20"/>
          <w:lang w:val="en-US" w:eastAsia="zh-CN"/>
        </w:rPr>
        <w:t>IoT-NTN cell</w:t>
      </w:r>
      <w:r>
        <w:rPr>
          <w:rFonts w:hint="default" w:ascii="Times New Roman Bold" w:hAnsi="Times New Roman Bold" w:cs="Times New Roman Bold"/>
          <w:b/>
          <w:bCs w:val="0"/>
          <w:szCs w:val="20"/>
          <w:lang w:val="en-US" w:eastAsia="zh-CN"/>
        </w:rPr>
        <w:t>.</w:t>
      </w:r>
    </w:p>
    <w:p>
      <w:pPr>
        <w:widowControl w:val="0"/>
        <w:numPr>
          <w:ilvl w:val="0"/>
          <w:numId w:val="0"/>
        </w:numPr>
        <w:jc w:val="both"/>
        <w:rPr>
          <w:rFonts w:hint="eastAsia"/>
          <w:b/>
          <w:bCs/>
          <w:szCs w:val="20"/>
          <w:lang w:val="en-US" w:eastAsia="zh-CN"/>
        </w:rPr>
      </w:pPr>
      <w:r>
        <w:rPr>
          <w:rFonts w:hint="eastAsia"/>
          <w:b/>
          <w:bCs/>
          <w:szCs w:val="20"/>
          <w:lang w:val="en-US" w:eastAsia="zh-CN"/>
        </w:rPr>
        <w:t>Proposal 2: It is proposed to discuss priority between normal IoT-NTN cell and the cell supporting S&amp;F operation in the following two scenarios:</w:t>
      </w:r>
    </w:p>
    <w:p>
      <w:pPr>
        <w:widowControl w:val="0"/>
        <w:numPr>
          <w:ilvl w:val="0"/>
          <w:numId w:val="29"/>
        </w:numPr>
        <w:ind w:left="220" w:leftChars="0"/>
        <w:jc w:val="both"/>
        <w:rPr>
          <w:rFonts w:hint="default"/>
          <w:b/>
          <w:bCs/>
          <w:szCs w:val="20"/>
          <w:lang w:val="en-US" w:eastAsia="zh-CN"/>
        </w:rPr>
      </w:pPr>
      <w:r>
        <w:rPr>
          <w:rFonts w:hint="eastAsia"/>
          <w:b/>
          <w:bCs/>
          <w:szCs w:val="20"/>
          <w:lang w:val="en-US" w:eastAsia="zh-CN"/>
        </w:rPr>
        <w:t>Initial attach procedure;</w:t>
      </w:r>
    </w:p>
    <w:p>
      <w:pPr>
        <w:widowControl w:val="0"/>
        <w:numPr>
          <w:ilvl w:val="0"/>
          <w:numId w:val="29"/>
        </w:numPr>
        <w:ind w:left="220" w:leftChars="0"/>
        <w:jc w:val="both"/>
        <w:rPr>
          <w:rFonts w:hint="default"/>
          <w:b/>
          <w:bCs/>
          <w:szCs w:val="20"/>
          <w:lang w:val="en-US" w:eastAsia="zh-CN"/>
        </w:rPr>
      </w:pPr>
      <w:r>
        <w:rPr>
          <w:rFonts w:hint="default"/>
          <w:b/>
          <w:bCs/>
          <w:szCs w:val="20"/>
          <w:lang w:val="en-US" w:eastAsia="zh-CN"/>
        </w:rPr>
        <w:t>Data suspend (when the service link is not available)</w:t>
      </w:r>
    </w:p>
    <w:p>
      <w:pPr>
        <w:widowControl w:val="0"/>
        <w:numPr>
          <w:numId w:val="0"/>
        </w:numPr>
        <w:jc w:val="both"/>
        <w:rPr>
          <w:rFonts w:hint="default"/>
          <w:b/>
          <w:bCs/>
          <w:szCs w:val="20"/>
          <w:lang w:val="en-US" w:eastAsia="zh-CN"/>
        </w:rPr>
      </w:pPr>
    </w:p>
    <w:p>
      <w:pPr>
        <w:pStyle w:val="3"/>
        <w:widowControl w:val="0"/>
        <w:jc w:val="both"/>
        <w:rPr>
          <w:rFonts w:hint="default" w:eastAsiaTheme="minorEastAsia"/>
          <w:b w:val="0"/>
          <w:bCs w:val="0"/>
          <w:highlight w:val="none"/>
          <w:lang w:val="en-US" w:eastAsia="zh-CN"/>
        </w:rPr>
      </w:pPr>
      <w:r>
        <w:rPr>
          <w:rFonts w:hint="default" w:eastAsiaTheme="minorEastAsia"/>
          <w:b w:val="0"/>
          <w:bCs w:val="0"/>
          <w:highlight w:val="none"/>
          <w:lang w:val="en-US" w:eastAsia="zh-CN"/>
        </w:rPr>
        <w:t>CP solution</w:t>
      </w:r>
    </w:p>
    <w:p>
      <w:pPr>
        <w:widowControl w:val="0"/>
        <w:numPr>
          <w:ilvl w:val="0"/>
          <w:numId w:val="0"/>
        </w:numPr>
        <w:adjustRightInd w:val="0"/>
        <w:spacing w:after="160" w:line="300" w:lineRule="auto"/>
        <w:jc w:val="both"/>
        <w:rPr>
          <w:rFonts w:hint="default"/>
          <w:highlight w:val="none"/>
          <w:lang w:val="en-US" w:eastAsia="zh-CN"/>
        </w:rPr>
      </w:pPr>
      <w:r>
        <w:rPr>
          <w:rFonts w:hint="eastAsia"/>
          <w:highlight w:val="none"/>
          <w:lang w:val="en-US" w:eastAsia="zh-CN"/>
        </w:rPr>
        <w:t>Taking UL NAS message transmission as an example (DL NAS message is similar): a</w:t>
      </w:r>
      <w:r>
        <w:rPr>
          <w:highlight w:val="none"/>
        </w:rPr>
        <w:t xml:space="preserve"> UL NAS signalling message or UL NAS message carrying data can be transmitted in a UL RRC container message</w:t>
      </w:r>
      <w:r>
        <w:rPr>
          <w:rFonts w:hint="eastAsia"/>
          <w:highlight w:val="none"/>
          <w:lang w:val="en-US" w:eastAsia="zh-CN"/>
        </w:rPr>
        <w:t xml:space="preserve">. For CP CIoT EPS/5GS optimisation, AS security and DRB are not needed. After successful RA procedure (RRC connection setup), UE can transmit UL NAS signalling message to the satellite network through AS </w:t>
      </w:r>
      <w:r>
        <w:rPr>
          <w:rFonts w:hint="default" w:ascii="Times New Roman Italic" w:hAnsi="Times New Roman Italic" w:cs="Times New Roman Italic"/>
          <w:i/>
          <w:iCs/>
          <w:highlight w:val="none"/>
          <w:lang w:val="en-US" w:eastAsia="zh-CN"/>
        </w:rPr>
        <w:t>RRCConnectionSetupCompleted</w:t>
      </w:r>
      <w:r>
        <w:rPr>
          <w:rFonts w:hint="eastAsia"/>
          <w:highlight w:val="none"/>
          <w:lang w:val="en-US" w:eastAsia="zh-CN"/>
        </w:rPr>
        <w:t xml:space="preserve"> message. This procedure is basically suitable for S&amp;F operation. For the next step, since the feeder link is not available when the service link is available, the satellite network will store the UL NAS message. When the feeder link is available, satellite will send the stored data to the ground server. Thus the legacy CP solution for NB-IoT in TS 36.300 [2] can be reused for IoT NTN S&amp;F operation. </w:t>
      </w:r>
      <w:r>
        <w:t>RRC connection</w:t>
      </w:r>
      <w:r>
        <w:rPr>
          <w:rFonts w:hint="eastAsia"/>
          <w:lang w:val="en-US" w:eastAsia="zh-CN"/>
        </w:rPr>
        <w:t xml:space="preserve"> establishment </w:t>
      </w:r>
      <w:r>
        <w:rPr>
          <w:rFonts w:hint="eastAsia"/>
          <w:highlight w:val="none"/>
          <w:lang w:val="en-US" w:eastAsia="zh-CN"/>
        </w:rPr>
        <w:t>procedure of CP CIoT optimisation for NB-IoT is given below:</w:t>
      </w:r>
    </w:p>
    <w:p>
      <w:pPr>
        <w:widowControl w:val="0"/>
        <w:numPr>
          <w:ilvl w:val="0"/>
          <w:numId w:val="0"/>
        </w:numPr>
        <w:adjustRightInd w:val="0"/>
        <w:spacing w:after="160" w:line="300" w:lineRule="auto"/>
        <w:jc w:val="center"/>
        <w:rPr>
          <w:rFonts w:hint="default"/>
          <w:highlight w:val="none"/>
          <w:lang w:val="en-US" w:eastAsia="zh-CN"/>
        </w:rPr>
      </w:pPr>
      <w:r>
        <w:object>
          <v:shape id="_x0000_i1025" o:spt="75" type="#_x0000_t75" style="height:170.25pt;width:303.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26"/>
        <w:rPr>
          <w:rFonts w:hint="eastAsia"/>
          <w:sz w:val="20"/>
          <w:szCs w:val="16"/>
          <w:lang w:val="en-US" w:eastAsia="zh-CN"/>
        </w:rPr>
      </w:pPr>
      <w:r>
        <w:rPr>
          <w:sz w:val="20"/>
          <w:szCs w:val="16"/>
        </w:rPr>
        <w:t xml:space="preserve">Figure </w:t>
      </w:r>
      <w:r>
        <w:rPr>
          <w:rFonts w:hint="eastAsia"/>
          <w:sz w:val="20"/>
          <w:szCs w:val="16"/>
          <w:lang w:val="en-US" w:eastAsia="zh-CN"/>
        </w:rPr>
        <w:t>1</w:t>
      </w:r>
      <w:r>
        <w:rPr>
          <w:sz w:val="20"/>
          <w:szCs w:val="16"/>
        </w:rPr>
        <w:t>: The RRC connection established for Control Plane CIoT EPS/5GS Optimisations</w:t>
      </w:r>
      <w:r>
        <w:rPr>
          <w:rFonts w:hint="eastAsia"/>
          <w:sz w:val="20"/>
          <w:szCs w:val="16"/>
          <w:lang w:val="en-US" w:eastAsia="zh-CN"/>
        </w:rPr>
        <w:t xml:space="preserve"> [2]</w:t>
      </w:r>
    </w:p>
    <w:p>
      <w:pPr>
        <w:widowControl w:val="0"/>
        <w:numPr>
          <w:ilvl w:val="0"/>
          <w:numId w:val="0"/>
        </w:numPr>
        <w:jc w:val="both"/>
        <w:rPr>
          <w:rFonts w:hint="default"/>
          <w:b/>
          <w:bCs/>
          <w:szCs w:val="20"/>
          <w:lang w:val="en-US" w:eastAsia="zh-CN"/>
        </w:rPr>
      </w:pPr>
      <w:r>
        <w:rPr>
          <w:rFonts w:hint="eastAsia"/>
          <w:b/>
          <w:bCs/>
          <w:szCs w:val="20"/>
          <w:lang w:val="en-US" w:eastAsia="zh-CN"/>
        </w:rPr>
        <w:t>Proposal 3: For CP CIoT optimisation, it is proposed to take legacy CP solution for NB-IoT as baseline.</w:t>
      </w:r>
    </w:p>
    <w:p>
      <w:pPr>
        <w:pStyle w:val="3"/>
        <w:widowControl w:val="0"/>
        <w:jc w:val="both"/>
        <w:rPr>
          <w:rFonts w:hint="default" w:eastAsiaTheme="minorEastAsia"/>
          <w:b w:val="0"/>
          <w:bCs w:val="0"/>
          <w:highlight w:val="none"/>
          <w:lang w:val="en-US" w:eastAsia="zh-CN"/>
        </w:rPr>
      </w:pPr>
      <w:r>
        <w:rPr>
          <w:rFonts w:hint="default" w:eastAsiaTheme="minorEastAsia"/>
          <w:b w:val="0"/>
          <w:bCs w:val="0"/>
          <w:highlight w:val="none"/>
          <w:lang w:val="en-US" w:eastAsia="zh-CN"/>
        </w:rPr>
        <w:t>Suspension</w:t>
      </w:r>
    </w:p>
    <w:p>
      <w:pPr>
        <w:keepNext w:val="0"/>
        <w:keepLines w:val="0"/>
        <w:pageBreakBefore w:val="0"/>
        <w:widowControl/>
        <w:kinsoku/>
        <w:wordWrap/>
        <w:overflowPunct/>
        <w:topLinePunct w:val="0"/>
        <w:autoSpaceDE/>
        <w:autoSpaceDN/>
        <w:bidi w:val="0"/>
        <w:adjustRightInd w:val="0"/>
        <w:snapToGrid/>
        <w:ind w:left="0" w:firstLine="0" w:firstLineChars="0"/>
        <w:jc w:val="both"/>
        <w:textAlignment w:val="auto"/>
        <w:rPr>
          <w:rFonts w:hint="default"/>
          <w:lang w:val="en-US" w:eastAsia="zh-CN"/>
        </w:rPr>
      </w:pPr>
      <w:r>
        <w:rPr>
          <w:rFonts w:hint="eastAsia"/>
          <w:bCs/>
          <w:szCs w:val="20"/>
          <w:lang w:val="en-US" w:eastAsia="zh-CN"/>
        </w:rPr>
        <w:t>Assuming UE has finished the RA procedure and established RRC connection with eNB successfully (both CP and UP), when the sat</w:t>
      </w:r>
      <w:r>
        <w:rPr>
          <w:rFonts w:hint="eastAsia"/>
          <w:lang w:val="en-US" w:eastAsia="zh-CN"/>
        </w:rPr>
        <w:t>ellite is moving away, the service link becomes unavailable and the data transmission between UE and eNB will be suspended in S&amp;F operation. A</w:t>
      </w:r>
      <w:r>
        <w:rPr>
          <w:rFonts w:hint="default"/>
          <w:lang w:val="en-US" w:eastAsia="zh-CN"/>
        </w:rPr>
        <w:t>n indication needs to be g</w:t>
      </w:r>
      <w:r>
        <w:rPr>
          <w:rFonts w:hint="eastAsia"/>
          <w:lang w:val="en-US" w:eastAsia="zh-CN"/>
        </w:rPr>
        <w:t>iven</w:t>
      </w:r>
      <w:r>
        <w:rPr>
          <w:rFonts w:hint="default"/>
          <w:lang w:val="en-US" w:eastAsia="zh-CN"/>
        </w:rPr>
        <w:t xml:space="preserve"> from </w:t>
      </w:r>
      <w:r>
        <w:rPr>
          <w:rFonts w:hint="eastAsia"/>
          <w:lang w:val="en-US" w:eastAsia="zh-CN"/>
        </w:rPr>
        <w:t>the satellite</w:t>
      </w:r>
      <w:r>
        <w:rPr>
          <w:rFonts w:hint="default"/>
          <w:lang w:val="en-US" w:eastAsia="zh-CN"/>
        </w:rPr>
        <w:t xml:space="preserve"> to UE to indicate the interruption time before the service link is </w:t>
      </w:r>
      <w:r>
        <w:rPr>
          <w:rFonts w:hint="eastAsia"/>
          <w:lang w:val="en-US" w:eastAsia="zh-CN"/>
        </w:rPr>
        <w:t>broken</w:t>
      </w:r>
      <w:r>
        <w:rPr>
          <w:rFonts w:hint="default"/>
          <w:lang w:val="en-US" w:eastAsia="zh-CN"/>
        </w:rPr>
        <w:t>.</w:t>
      </w:r>
      <w:r>
        <w:rPr>
          <w:rFonts w:hint="eastAsia"/>
          <w:lang w:val="en-US" w:eastAsia="zh-CN"/>
        </w:rPr>
        <w:t xml:space="preserve"> In this way, UE could know the estimated suspension time for next data transmission occasion. Also the estimated suspension time is useful for UE to estimate the paging occasion which means UE does not need to monitor all the time and can skip the irrelevant paging since UE knows when the next satellite will come.</w:t>
      </w:r>
    </w:p>
    <w:p>
      <w:pPr>
        <w:widowControl w:val="0"/>
        <w:numPr>
          <w:ilvl w:val="0"/>
          <w:numId w:val="0"/>
        </w:numPr>
        <w:jc w:val="both"/>
        <w:rPr>
          <w:rFonts w:hint="eastAsia" w:eastAsia="宋体"/>
          <w:b/>
          <w:bCs/>
          <w:lang w:val="en-US" w:eastAsia="zh-CN"/>
        </w:rPr>
      </w:pPr>
      <w:r>
        <w:rPr>
          <w:rFonts w:hint="eastAsia" w:eastAsia="宋体"/>
          <w:b/>
          <w:bCs/>
          <w:lang w:val="en-US" w:eastAsia="zh-CN"/>
        </w:rPr>
        <w:t>Proposal 4</w:t>
      </w:r>
      <w:r>
        <w:rPr>
          <w:rFonts w:hint="default" w:eastAsia="宋体"/>
          <w:b/>
          <w:bCs/>
          <w:lang w:val="en-US" w:eastAsia="zh-CN"/>
        </w:rPr>
        <w:t>:</w:t>
      </w:r>
      <w:r>
        <w:rPr>
          <w:rFonts w:hint="eastAsia" w:eastAsia="宋体"/>
          <w:b/>
          <w:bCs/>
          <w:lang w:val="en-US" w:eastAsia="zh-CN"/>
        </w:rPr>
        <w:t xml:space="preserve"> B</w:t>
      </w:r>
      <w:r>
        <w:rPr>
          <w:rFonts w:hint="default" w:eastAsia="宋体"/>
          <w:b/>
          <w:bCs/>
          <w:lang w:val="en-US" w:eastAsia="zh-CN"/>
        </w:rPr>
        <w:t xml:space="preserve">efore the service link is </w:t>
      </w:r>
      <w:r>
        <w:rPr>
          <w:rFonts w:hint="eastAsia" w:eastAsia="宋体"/>
          <w:b/>
          <w:bCs/>
          <w:lang w:val="en-US" w:eastAsia="zh-CN"/>
        </w:rPr>
        <w:t>broken, the satellite can send a</w:t>
      </w:r>
      <w:r>
        <w:rPr>
          <w:rFonts w:hint="default" w:eastAsia="宋体"/>
          <w:b/>
          <w:bCs/>
          <w:lang w:val="en-US" w:eastAsia="zh-CN"/>
        </w:rPr>
        <w:t>n indication</w:t>
      </w:r>
      <w:r>
        <w:rPr>
          <w:rFonts w:hint="eastAsia" w:eastAsia="宋体"/>
          <w:b/>
          <w:bCs/>
          <w:lang w:val="en-US" w:eastAsia="zh-CN"/>
        </w:rPr>
        <w:t xml:space="preserve"> </w:t>
      </w:r>
      <w:r>
        <w:rPr>
          <w:rFonts w:hint="default" w:eastAsia="宋体"/>
          <w:b/>
          <w:bCs/>
          <w:lang w:val="en-US" w:eastAsia="zh-CN"/>
        </w:rPr>
        <w:t xml:space="preserve">to UE to indicate the interruption time. </w:t>
      </w:r>
      <w:r>
        <w:rPr>
          <w:rFonts w:hint="eastAsia" w:eastAsia="宋体"/>
          <w:b/>
          <w:bCs/>
          <w:lang w:val="en-US" w:eastAsia="zh-CN"/>
        </w:rPr>
        <w:t>Given the two benefits below:</w:t>
      </w:r>
    </w:p>
    <w:p>
      <w:pPr>
        <w:widowControl w:val="0"/>
        <w:numPr>
          <w:ilvl w:val="0"/>
          <w:numId w:val="30"/>
        </w:numPr>
        <w:ind w:left="420" w:leftChars="0"/>
        <w:jc w:val="both"/>
        <w:rPr>
          <w:rFonts w:hint="default" w:eastAsia="宋体"/>
          <w:b/>
          <w:bCs/>
          <w:lang w:val="en-US" w:eastAsia="zh-CN"/>
        </w:rPr>
      </w:pPr>
      <w:r>
        <w:rPr>
          <w:rFonts w:hint="default" w:ascii="Times New Roman Bold" w:hAnsi="Times New Roman Bold" w:cs="Times New Roman Bold"/>
          <w:b/>
          <w:bCs/>
          <w:lang w:val="en-US" w:eastAsia="zh-CN"/>
        </w:rPr>
        <w:t>UE can know the estimated suspension time for next data transmission occasion</w:t>
      </w:r>
      <w:r>
        <w:rPr>
          <w:rFonts w:hint="eastAsia" w:ascii="Times New Roman Bold" w:hAnsi="Times New Roman Bold" w:cs="Times New Roman Bold"/>
          <w:b/>
          <w:bCs/>
          <w:lang w:val="en-US" w:eastAsia="zh-CN"/>
        </w:rPr>
        <w:t>;</w:t>
      </w:r>
    </w:p>
    <w:p>
      <w:pPr>
        <w:widowControl w:val="0"/>
        <w:numPr>
          <w:ilvl w:val="0"/>
          <w:numId w:val="30"/>
        </w:numPr>
        <w:ind w:left="420" w:leftChars="0" w:firstLine="0" w:firstLineChars="0"/>
        <w:jc w:val="both"/>
        <w:rPr>
          <w:rFonts w:hint="default" w:eastAsia="宋体"/>
          <w:b/>
          <w:bCs/>
          <w:lang w:val="en-US" w:eastAsia="zh-CN"/>
        </w:rPr>
      </w:pPr>
      <w:r>
        <w:rPr>
          <w:rFonts w:hint="eastAsia" w:eastAsia="宋体"/>
          <w:b/>
          <w:bCs/>
          <w:lang w:val="en-US" w:eastAsia="zh-CN"/>
        </w:rPr>
        <w:t>The indication is useful for UE to skip irrelevant paging to save power consumption.</w:t>
      </w:r>
    </w:p>
    <w:p>
      <w:pPr>
        <w:jc w:val="both"/>
        <w:rPr>
          <w:rFonts w:hint="default"/>
          <w:lang w:val="en-US" w:eastAsia="zh-CN"/>
        </w:rPr>
      </w:pPr>
      <w:r>
        <w:rPr>
          <w:rFonts w:hint="eastAsia"/>
          <w:lang w:val="en-US" w:eastAsia="zh-CN"/>
        </w:rPr>
        <w:t xml:space="preserve">During the suspension period, there is an obvious problem needed to be solved: </w:t>
      </w:r>
      <w:r>
        <w:rPr>
          <w:rFonts w:hint="default"/>
          <w:lang w:val="en-US" w:eastAsia="zh-CN"/>
        </w:rPr>
        <w:t>how to deal with the left unsuccessful delivered data</w:t>
      </w:r>
      <w:r>
        <w:rPr>
          <w:rFonts w:hint="eastAsia"/>
          <w:lang w:val="en-US" w:eastAsia="zh-CN"/>
        </w:rPr>
        <w:t>. Since the normal different kind of timer</w:t>
      </w:r>
      <w:r>
        <w:rPr>
          <w:rFonts w:hint="default" w:ascii="Times New Roman" w:hAnsi="Times New Roman" w:cs="Times New Roman"/>
          <w:b w:val="0"/>
          <w:bCs w:val="0"/>
          <w:lang w:val="en-US" w:eastAsia="zh-CN"/>
        </w:rPr>
        <w:t>s (e.g.</w:t>
      </w:r>
      <w:r>
        <w:rPr>
          <w:rFonts w:hint="eastAsia" w:ascii="Times New Roman" w:hAnsi="Times New Roman" w:cs="Times New Roman"/>
          <w:b w:val="0"/>
          <w:bCs w:val="0"/>
          <w:lang w:val="en-US" w:eastAsia="zh-CN"/>
        </w:rPr>
        <w:t xml:space="preserve"> </w:t>
      </w:r>
      <w:r>
        <w:rPr>
          <w:rFonts w:hint="default" w:ascii="Times New Roman" w:hAnsi="Times New Roman" w:eastAsia="宋体" w:cs="Times New Roman"/>
          <w:b w:val="0"/>
          <w:bCs w:val="0"/>
          <w:lang w:val="en-US" w:eastAsia="zh-CN"/>
        </w:rPr>
        <w:t>discard timer/retransmission timer</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can not satisfy such large latency in S&amp;F mode.</w:t>
      </w:r>
      <w:r>
        <w:rPr>
          <w:rFonts w:hint="eastAsia"/>
          <w:lang w:val="en-US" w:eastAsia="zh-CN"/>
        </w:rPr>
        <w:t xml:space="preserve"> Thus, UE behaviour during the suspension period needs to be discussed and enhanced. The details can be discussed after Q2.</w:t>
      </w:r>
    </w:p>
    <w:p>
      <w:pPr>
        <w:widowControl w:val="0"/>
        <w:numPr>
          <w:ilvl w:val="0"/>
          <w:numId w:val="0"/>
        </w:numPr>
        <w:jc w:val="both"/>
        <w:rPr>
          <w:rFonts w:hint="default"/>
          <w:b/>
          <w:szCs w:val="20"/>
          <w:lang w:val="en-US"/>
        </w:rPr>
      </w:pPr>
      <w:r>
        <w:rPr>
          <w:rFonts w:hint="eastAsia" w:eastAsia="宋体"/>
          <w:b/>
          <w:bCs/>
          <w:lang w:val="en-US" w:eastAsia="zh-CN"/>
        </w:rPr>
        <w:t>Proposal 5</w:t>
      </w:r>
      <w:r>
        <w:rPr>
          <w:rFonts w:hint="default" w:eastAsia="宋体"/>
          <w:b/>
          <w:bCs/>
          <w:lang w:val="en-US" w:eastAsia="zh-CN"/>
        </w:rPr>
        <w:t xml:space="preserve">: RAN2 to discuss </w:t>
      </w:r>
      <w:r>
        <w:rPr>
          <w:rFonts w:hint="eastAsia" w:eastAsia="宋体"/>
          <w:b/>
          <w:bCs/>
          <w:lang w:val="en-US" w:eastAsia="zh-CN"/>
        </w:rPr>
        <w:t>UE behaviour during the suspension period.</w:t>
      </w:r>
    </w:p>
    <w:bookmarkEnd w:id="6"/>
    <w:p>
      <w:pPr>
        <w:pStyle w:val="2"/>
        <w:jc w:val="both"/>
        <w:rPr>
          <w:rFonts w:hint="eastAsia"/>
        </w:rPr>
      </w:pPr>
      <w:r>
        <w:t>Conclusions</w:t>
      </w:r>
    </w:p>
    <w:p>
      <w:pPr>
        <w:widowControl w:val="0"/>
        <w:numPr>
          <w:ilvl w:val="0"/>
          <w:numId w:val="0"/>
        </w:numPr>
        <w:jc w:val="both"/>
        <w:rPr>
          <w:rFonts w:hint="default" w:ascii="Times New Roman Bold" w:hAnsi="Times New Roman Bold" w:cs="Times New Roman Bold"/>
          <w:b/>
          <w:bCs w:val="0"/>
          <w:szCs w:val="20"/>
          <w:lang w:val="en-US" w:eastAsia="zh-CN"/>
        </w:rPr>
      </w:pPr>
      <w:r>
        <w:rPr>
          <w:rFonts w:hint="default" w:ascii="Times New Roman Bold" w:hAnsi="Times New Roman Bold" w:cs="Times New Roman Bold"/>
          <w:b/>
          <w:bCs w:val="0"/>
          <w:szCs w:val="20"/>
          <w:lang w:val="en-US" w:eastAsia="zh-CN"/>
        </w:rPr>
        <w:t xml:space="preserve">Observation 1: UE supporting IoT-NTN S&amp;F operation can also camp on normal </w:t>
      </w:r>
      <w:r>
        <w:rPr>
          <w:rFonts w:hint="eastAsia" w:ascii="Times New Roman Bold" w:hAnsi="Times New Roman Bold" w:cs="Times New Roman Bold"/>
          <w:b/>
          <w:bCs w:val="0"/>
          <w:szCs w:val="20"/>
          <w:lang w:val="en-US" w:eastAsia="zh-CN"/>
        </w:rPr>
        <w:t>IoT-NTN cell</w:t>
      </w:r>
      <w:r>
        <w:rPr>
          <w:rFonts w:hint="default" w:ascii="Times New Roman Bold" w:hAnsi="Times New Roman Bold" w:cs="Times New Roman Bold"/>
          <w:b/>
          <w:bCs w:val="0"/>
          <w:szCs w:val="20"/>
          <w:lang w:val="en-US" w:eastAsia="zh-CN"/>
        </w:rPr>
        <w:t>.</w:t>
      </w:r>
    </w:p>
    <w:p>
      <w:pPr>
        <w:widowControl w:val="0"/>
        <w:numPr>
          <w:ilvl w:val="0"/>
          <w:numId w:val="0"/>
        </w:numPr>
        <w:jc w:val="both"/>
        <w:rPr>
          <w:rFonts w:hint="eastAsia" w:eastAsia="宋体"/>
          <w:b/>
          <w:bCs/>
          <w:lang w:val="en-US" w:eastAsia="zh-CN"/>
        </w:rPr>
      </w:pPr>
      <w:r>
        <w:rPr>
          <w:rFonts w:hint="eastAsia" w:eastAsia="宋体"/>
          <w:b/>
          <w:bCs/>
          <w:lang w:val="en-US" w:eastAsia="zh-CN"/>
        </w:rPr>
        <w:t>Proposal 1</w:t>
      </w:r>
      <w:r>
        <w:rPr>
          <w:rFonts w:hint="default" w:eastAsia="宋体"/>
          <w:b/>
          <w:bCs/>
          <w:lang w:val="en-US" w:eastAsia="zh-CN"/>
        </w:rPr>
        <w:t xml:space="preserve">: </w:t>
      </w:r>
      <w:r>
        <w:rPr>
          <w:rFonts w:hint="eastAsia" w:eastAsia="宋体"/>
          <w:b/>
          <w:bCs/>
          <w:lang w:val="en-US" w:eastAsia="zh-CN"/>
        </w:rPr>
        <w:t>It is proposed to add new UE capability to</w:t>
      </w:r>
      <w:r>
        <w:rPr>
          <w:rFonts w:hint="default" w:eastAsia="宋体"/>
          <w:b/>
          <w:bCs/>
          <w:lang w:val="en-US" w:eastAsia="zh-CN"/>
        </w:rPr>
        <w:t xml:space="preserve"> support S&amp;F </w:t>
      </w:r>
      <w:r>
        <w:rPr>
          <w:rFonts w:hint="eastAsia" w:eastAsia="宋体"/>
          <w:b/>
          <w:bCs/>
          <w:lang w:val="en-US" w:eastAsia="zh-CN"/>
        </w:rPr>
        <w:t>operation</w:t>
      </w:r>
      <w:r>
        <w:rPr>
          <w:rFonts w:hint="default" w:eastAsia="宋体"/>
          <w:b/>
          <w:bCs/>
          <w:lang w:val="en-US" w:eastAsia="zh-CN"/>
        </w:rPr>
        <w:t>.</w:t>
      </w:r>
      <w:r>
        <w:rPr>
          <w:rFonts w:hint="eastAsia" w:eastAsia="宋体"/>
          <w:b/>
          <w:bCs/>
          <w:lang w:val="en-US" w:eastAsia="zh-CN"/>
        </w:rPr>
        <w:t xml:space="preserve"> </w:t>
      </w:r>
    </w:p>
    <w:p>
      <w:pPr>
        <w:widowControl w:val="0"/>
        <w:numPr>
          <w:ilvl w:val="0"/>
          <w:numId w:val="0"/>
        </w:numPr>
        <w:jc w:val="both"/>
        <w:rPr>
          <w:rFonts w:hint="eastAsia"/>
          <w:b/>
          <w:bCs/>
          <w:szCs w:val="20"/>
          <w:lang w:val="en-US" w:eastAsia="zh-CN"/>
        </w:rPr>
      </w:pPr>
      <w:r>
        <w:rPr>
          <w:rFonts w:hint="eastAsia"/>
          <w:b/>
          <w:bCs/>
          <w:szCs w:val="20"/>
          <w:lang w:val="en-US" w:eastAsia="zh-CN"/>
        </w:rPr>
        <w:t>Proposal 2: It is proposed to discuss priority between normal IoT-NTN cell and the cell supporting S&amp;F operation in the following two scenarios:</w:t>
      </w:r>
    </w:p>
    <w:p>
      <w:pPr>
        <w:widowControl w:val="0"/>
        <w:numPr>
          <w:ilvl w:val="2"/>
          <w:numId w:val="31"/>
        </w:numPr>
        <w:ind w:left="220" w:leftChars="0" w:firstLineChars="0"/>
        <w:jc w:val="both"/>
        <w:rPr>
          <w:rFonts w:hint="default"/>
          <w:b/>
          <w:bCs/>
          <w:szCs w:val="20"/>
          <w:lang w:val="en-US" w:eastAsia="zh-CN"/>
        </w:rPr>
      </w:pPr>
      <w:r>
        <w:rPr>
          <w:rFonts w:hint="eastAsia"/>
          <w:b/>
          <w:bCs/>
          <w:szCs w:val="20"/>
          <w:lang w:val="en-US" w:eastAsia="zh-CN"/>
        </w:rPr>
        <w:t>Initial attach procedure;</w:t>
      </w:r>
    </w:p>
    <w:p>
      <w:pPr>
        <w:widowControl w:val="0"/>
        <w:numPr>
          <w:ilvl w:val="1"/>
          <w:numId w:val="0"/>
        </w:numPr>
        <w:ind w:leftChars="100"/>
        <w:jc w:val="both"/>
        <w:rPr>
          <w:rFonts w:hint="eastAsia"/>
          <w:b/>
          <w:bCs/>
          <w:szCs w:val="20"/>
          <w:lang w:val="en-US" w:eastAsia="zh-CN"/>
        </w:rPr>
      </w:pPr>
      <w:r>
        <w:rPr>
          <w:rFonts w:hint="eastAsia"/>
          <w:b/>
          <w:bCs/>
          <w:szCs w:val="20"/>
          <w:lang w:val="en-US" w:eastAsia="zh-CN"/>
        </w:rPr>
        <w:t>2) Data suspend (when the service link is not available).</w:t>
      </w:r>
    </w:p>
    <w:p>
      <w:pPr>
        <w:widowControl w:val="0"/>
        <w:numPr>
          <w:ilvl w:val="0"/>
          <w:numId w:val="0"/>
        </w:numPr>
        <w:adjustRightInd w:val="0"/>
        <w:spacing w:after="160" w:line="300" w:lineRule="auto"/>
        <w:jc w:val="both"/>
        <w:rPr>
          <w:rFonts w:hint="default"/>
          <w:b/>
          <w:bCs/>
          <w:szCs w:val="20"/>
          <w:lang w:val="en-US" w:eastAsia="zh-CN"/>
        </w:rPr>
      </w:pPr>
      <w:r>
        <w:rPr>
          <w:rFonts w:hint="eastAsia"/>
          <w:b/>
          <w:bCs/>
          <w:szCs w:val="20"/>
          <w:lang w:val="en-US" w:eastAsia="zh-CN"/>
        </w:rPr>
        <w:t>Proposal 3: For CP CIoT optimisation, it is proposed to take legacy CP solution for NB-IoT as baseline.</w:t>
      </w:r>
    </w:p>
    <w:p>
      <w:pPr>
        <w:widowControl w:val="0"/>
        <w:numPr>
          <w:ilvl w:val="0"/>
          <w:numId w:val="0"/>
        </w:numPr>
        <w:jc w:val="both"/>
        <w:rPr>
          <w:rFonts w:hint="eastAsia" w:eastAsia="宋体"/>
          <w:b/>
          <w:bCs/>
          <w:lang w:val="en-US" w:eastAsia="zh-CN"/>
        </w:rPr>
      </w:pPr>
      <w:r>
        <w:rPr>
          <w:rFonts w:hint="eastAsia" w:eastAsia="宋体"/>
          <w:b/>
          <w:bCs/>
          <w:lang w:val="en-US" w:eastAsia="zh-CN"/>
        </w:rPr>
        <w:t>Proposal 4</w:t>
      </w:r>
      <w:r>
        <w:rPr>
          <w:rFonts w:hint="default" w:eastAsia="宋体"/>
          <w:b/>
          <w:bCs/>
          <w:lang w:val="en-US" w:eastAsia="zh-CN"/>
        </w:rPr>
        <w:t>:</w:t>
      </w:r>
      <w:r>
        <w:rPr>
          <w:rFonts w:hint="eastAsia" w:eastAsia="宋体"/>
          <w:b/>
          <w:bCs/>
          <w:lang w:val="en-US" w:eastAsia="zh-CN"/>
        </w:rPr>
        <w:t xml:space="preserve"> B</w:t>
      </w:r>
      <w:r>
        <w:rPr>
          <w:rFonts w:hint="default" w:eastAsia="宋体"/>
          <w:b/>
          <w:bCs/>
          <w:lang w:val="en-US" w:eastAsia="zh-CN"/>
        </w:rPr>
        <w:t xml:space="preserve">efore the service link is </w:t>
      </w:r>
      <w:r>
        <w:rPr>
          <w:rFonts w:hint="eastAsia" w:eastAsia="宋体"/>
          <w:b/>
          <w:bCs/>
          <w:lang w:val="en-US" w:eastAsia="zh-CN"/>
        </w:rPr>
        <w:t>broken, the satellite can send a</w:t>
      </w:r>
      <w:r>
        <w:rPr>
          <w:rFonts w:hint="default" w:eastAsia="宋体"/>
          <w:b/>
          <w:bCs/>
          <w:lang w:val="en-US" w:eastAsia="zh-CN"/>
        </w:rPr>
        <w:t>n indication</w:t>
      </w:r>
      <w:r>
        <w:rPr>
          <w:rFonts w:hint="eastAsia" w:eastAsia="宋体"/>
          <w:b/>
          <w:bCs/>
          <w:lang w:val="en-US" w:eastAsia="zh-CN"/>
        </w:rPr>
        <w:t xml:space="preserve"> </w:t>
      </w:r>
      <w:r>
        <w:rPr>
          <w:rFonts w:hint="default" w:eastAsia="宋体"/>
          <w:b/>
          <w:bCs/>
          <w:lang w:val="en-US" w:eastAsia="zh-CN"/>
        </w:rPr>
        <w:t xml:space="preserve">to UE to indicate the interruption time. </w:t>
      </w:r>
      <w:r>
        <w:rPr>
          <w:rFonts w:hint="eastAsia" w:eastAsia="宋体"/>
          <w:b/>
          <w:bCs/>
          <w:lang w:val="en-US" w:eastAsia="zh-CN"/>
        </w:rPr>
        <w:t>Given the two benefits below:</w:t>
      </w:r>
    </w:p>
    <w:p>
      <w:pPr>
        <w:widowControl w:val="0"/>
        <w:numPr>
          <w:ilvl w:val="0"/>
          <w:numId w:val="32"/>
        </w:numPr>
        <w:ind w:left="420" w:leftChars="0"/>
        <w:jc w:val="both"/>
        <w:rPr>
          <w:rFonts w:hint="default" w:eastAsia="宋体"/>
          <w:b/>
          <w:bCs/>
          <w:lang w:val="en-US" w:eastAsia="zh-CN"/>
        </w:rPr>
      </w:pPr>
      <w:r>
        <w:rPr>
          <w:rFonts w:hint="default" w:ascii="Times New Roman Bold" w:hAnsi="Times New Roman Bold" w:cs="Times New Roman Bold"/>
          <w:b/>
          <w:bCs/>
          <w:lang w:val="en-US" w:eastAsia="zh-CN"/>
        </w:rPr>
        <w:t>UE can know the estimated suspension time for next data transmission occasion</w:t>
      </w:r>
      <w:r>
        <w:rPr>
          <w:rFonts w:hint="eastAsia" w:ascii="Times New Roman Bold" w:hAnsi="Times New Roman Bold" w:cs="Times New Roman Bold"/>
          <w:b/>
          <w:bCs/>
          <w:lang w:val="en-US" w:eastAsia="zh-CN"/>
        </w:rPr>
        <w:t>;</w:t>
      </w:r>
    </w:p>
    <w:p>
      <w:pPr>
        <w:widowControl w:val="0"/>
        <w:numPr>
          <w:ilvl w:val="0"/>
          <w:numId w:val="32"/>
        </w:numPr>
        <w:ind w:left="420" w:leftChars="0" w:firstLine="0" w:firstLineChars="0"/>
        <w:jc w:val="both"/>
        <w:rPr>
          <w:rFonts w:hint="default" w:eastAsia="宋体"/>
          <w:b/>
          <w:bCs/>
          <w:lang w:val="en-US" w:eastAsia="zh-CN"/>
        </w:rPr>
      </w:pPr>
      <w:r>
        <w:rPr>
          <w:rFonts w:hint="eastAsia" w:eastAsia="宋体"/>
          <w:b/>
          <w:bCs/>
          <w:lang w:val="en-US" w:eastAsia="zh-CN"/>
        </w:rPr>
        <w:t>The indication is useful for UE to skip irrelevant paging to save power consumption.</w:t>
      </w:r>
    </w:p>
    <w:p>
      <w:pPr>
        <w:widowControl w:val="0"/>
        <w:numPr>
          <w:ilvl w:val="0"/>
          <w:numId w:val="0"/>
        </w:numPr>
        <w:jc w:val="both"/>
        <w:rPr>
          <w:rFonts w:hint="default"/>
          <w:b/>
          <w:szCs w:val="20"/>
          <w:lang w:val="en-US"/>
        </w:rPr>
      </w:pPr>
      <w:r>
        <w:rPr>
          <w:rFonts w:hint="eastAsia" w:eastAsia="宋体"/>
          <w:b/>
          <w:bCs/>
          <w:lang w:val="en-US" w:eastAsia="zh-CN"/>
        </w:rPr>
        <w:t>Proposal 5</w:t>
      </w:r>
      <w:r>
        <w:rPr>
          <w:rFonts w:hint="default" w:eastAsia="宋体"/>
          <w:b/>
          <w:bCs/>
          <w:lang w:val="en-US" w:eastAsia="zh-CN"/>
        </w:rPr>
        <w:t xml:space="preserve">: RAN2 to discuss </w:t>
      </w:r>
      <w:r>
        <w:rPr>
          <w:rFonts w:hint="eastAsia" w:eastAsia="宋体"/>
          <w:b/>
          <w:bCs/>
          <w:lang w:val="en-US" w:eastAsia="zh-CN"/>
        </w:rPr>
        <w:t>UE behaviour during the suspension period.</w:t>
      </w:r>
    </w:p>
    <w:p>
      <w:pPr>
        <w:pStyle w:val="2"/>
        <w:jc w:val="both"/>
      </w:pPr>
      <w:r>
        <w:t>References</w:t>
      </w:r>
    </w:p>
    <w:p>
      <w:pPr>
        <w:numPr>
          <w:ilvl w:val="0"/>
          <w:numId w:val="33"/>
        </w:numPr>
        <w:tabs>
          <w:tab w:val="left" w:pos="1985"/>
        </w:tabs>
        <w:adjustRightInd/>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R2-125bis NR-NTN-IoT-NTN (Sergio) EOM</w:t>
      </w:r>
    </w:p>
    <w:p>
      <w:pPr>
        <w:numPr>
          <w:ilvl w:val="0"/>
          <w:numId w:val="33"/>
        </w:numPr>
        <w:tabs>
          <w:tab w:val="left" w:pos="1985"/>
        </w:tabs>
        <w:adjustRightInd/>
        <w:ind w:left="1985" w:hanging="1985"/>
        <w:jc w:val="both"/>
        <w:outlineLvl w:val="9"/>
        <w:rPr>
          <w:lang w:eastAsia="ko-KR"/>
        </w:rPr>
      </w:pPr>
      <w:r>
        <w:rPr>
          <w:rFonts w:hint="eastAsia"/>
          <w:bCs/>
        </w:rPr>
        <w:t>3GPP T</w:t>
      </w:r>
      <w:r>
        <w:rPr>
          <w:rFonts w:hint="eastAsia"/>
          <w:bCs/>
          <w:lang w:val="en-US" w:eastAsia="zh-CN"/>
        </w:rPr>
        <w:t>S</w:t>
      </w:r>
      <w:r>
        <w:rPr>
          <w:rFonts w:hint="eastAsia"/>
          <w:bCs/>
        </w:rPr>
        <w:t xml:space="preserve"> </w:t>
      </w:r>
      <w:r>
        <w:rPr>
          <w:rFonts w:hint="eastAsia" w:eastAsia="宋体"/>
          <w:lang w:val="en-US" w:eastAsia="zh-CN"/>
        </w:rPr>
        <w:t>36.300</w:t>
      </w:r>
      <w:r>
        <w:rPr>
          <w:rFonts w:hint="eastAsia" w:eastAsia="宋体"/>
        </w:rPr>
        <w:t xml:space="preserve">, </w:t>
      </w:r>
      <w:r>
        <w:rPr>
          <w:rFonts w:hint="eastAsia"/>
        </w:rPr>
        <w:t>Evolved Universal Terrestrial Radio Access (E-UTRA) and Evolved Universal Terrestrial Radio Access Network (E-UTRAN);</w:t>
      </w:r>
      <w:r>
        <w:rPr>
          <w:rFonts w:hint="eastAsia"/>
          <w:lang w:val="en-US" w:eastAsia="zh-CN"/>
        </w:rPr>
        <w:t xml:space="preserve"> </w:t>
      </w:r>
      <w:r>
        <w:rPr>
          <w:rFonts w:hint="eastAsia"/>
        </w:rPr>
        <w:t xml:space="preserve">Overall description </w:t>
      </w:r>
    </w:p>
    <w:p>
      <w:pPr>
        <w:numPr>
          <w:ilvl w:val="0"/>
          <w:numId w:val="33"/>
        </w:numPr>
        <w:tabs>
          <w:tab w:val="left" w:pos="1985"/>
        </w:tabs>
        <w:adjustRightInd/>
        <w:ind w:left="1985" w:hanging="1985"/>
        <w:jc w:val="both"/>
        <w:rPr>
          <w:lang w:eastAsia="ko-KR"/>
        </w:rPr>
      </w:pPr>
      <w:r>
        <w:rPr>
          <w:rFonts w:hint="eastAsia"/>
          <w:bCs/>
        </w:rPr>
        <w:t>3GPP T</w:t>
      </w:r>
      <w:r>
        <w:rPr>
          <w:rFonts w:hint="eastAsia"/>
          <w:bCs/>
          <w:lang w:val="en-US" w:eastAsia="zh-CN"/>
        </w:rPr>
        <w:t>R</w:t>
      </w:r>
      <w:r>
        <w:rPr>
          <w:rFonts w:hint="eastAsia"/>
          <w:bCs/>
        </w:rPr>
        <w:t xml:space="preserve"> </w:t>
      </w:r>
      <w:r>
        <w:rPr>
          <w:rFonts w:hint="eastAsia" w:eastAsia="宋体"/>
          <w:lang w:val="en-US" w:eastAsia="zh-CN"/>
        </w:rPr>
        <w:t>23</w:t>
      </w:r>
      <w:r>
        <w:rPr>
          <w:rFonts w:hint="eastAsia" w:eastAsia="宋体"/>
        </w:rPr>
        <w:t>.</w:t>
      </w:r>
      <w:r>
        <w:rPr>
          <w:rFonts w:hint="eastAsia" w:eastAsia="宋体"/>
          <w:lang w:val="en-US" w:eastAsia="zh-CN"/>
        </w:rPr>
        <w:t>700-29</w:t>
      </w:r>
      <w:r>
        <w:rPr>
          <w:rFonts w:hint="eastAsia" w:eastAsia="宋体"/>
        </w:rPr>
        <w:t xml:space="preserve">, </w:t>
      </w:r>
      <w:r>
        <w:rPr>
          <w:rFonts w:hint="eastAsia"/>
        </w:rPr>
        <w:t>Study on integration of satellite components</w:t>
      </w:r>
      <w:r>
        <w:rPr>
          <w:rFonts w:hint="eastAsia"/>
          <w:lang w:val="en-US" w:eastAsia="zh-CN"/>
        </w:rPr>
        <w:t xml:space="preserve"> </w:t>
      </w:r>
      <w:r>
        <w:rPr>
          <w:rFonts w:hint="eastAsia"/>
        </w:rPr>
        <w:t>in the 5G architecture</w:t>
      </w:r>
      <w:r>
        <w:rPr>
          <w:rFonts w:hint="eastAsia"/>
          <w:lang w:val="en-US" w:eastAsia="zh-CN"/>
        </w:rPr>
        <w:t>; Phase 3</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roman"/>
    <w:pitch w:val="default"/>
    <w:sig w:usb0="00000000" w:usb1="00000000" w:usb2="00000010" w:usb3="00000000" w:csb0="00040000" w:csb1="00000000"/>
  </w:font>
  <w:font w:name="MS Gothic">
    <w:altName w:val="冬青黑体简体中文"/>
    <w:panose1 w:val="020B0609070205080204"/>
    <w:charset w:val="80"/>
    <w:family w:val="modern"/>
    <w:pitch w:val="default"/>
    <w:sig w:usb0="00000000" w:usb1="00000000" w:usb2="08000012" w:usb3="00000000" w:csb0="4002009F" w:csb1="DFD70000"/>
  </w:font>
  <w:font w:name="Cambria">
    <w:altName w:val="苹方-简"/>
    <w:panose1 w:val="02040503050406030204"/>
    <w:charset w:val="00"/>
    <w:family w:val="roman"/>
    <w:pitch w:val="default"/>
    <w:sig w:usb0="00000000" w:usb1="00000000" w:usb2="02000000" w:usb3="00000000" w:csb0="2000019F" w:csb1="0000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Thonburi"/>
    <w:panose1 w:val="00000000000000000000"/>
    <w:charset w:val="02"/>
    <w:family w:val="decorative"/>
    <w:pitch w:val="default"/>
    <w:sig w:usb0="00000000" w:usb1="00000000" w:usb2="00000000" w:usb3="00000000" w:csb0="80000000" w:csb1="00000000"/>
  </w:font>
  <w:font w:name="????">
    <w:altName w:val="苹方-简"/>
    <w:panose1 w:val="00000000000000000000"/>
    <w:charset w:val="88"/>
    <w:family w:val="auto"/>
    <w:pitch w:val="default"/>
    <w:sig w:usb0="00000000" w:usb1="00000000" w:usb2="00000010" w:usb3="00000000" w:csb0="00100000" w:csb1="00000000"/>
  </w:font>
  <w:font w:name="Helvetica">
    <w:panose1 w:val="00000000000000000000"/>
    <w:charset w:val="00"/>
    <w:family w:val="swiss"/>
    <w:pitch w:val="default"/>
    <w:sig w:usb0="E00002FF" w:usb1="5000785B" w:usb2="00000000" w:usb3="00000000" w:csb0="2000019F" w:csb1="4F01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200001FF" w:csb1="00000000"/>
  </w:font>
  <w:font w:name="MS PGothic">
    <w:altName w:val="Hiragino Sans"/>
    <w:panose1 w:val="020B0600070205080204"/>
    <w:charset w:val="80"/>
    <w:family w:val="swiss"/>
    <w:pitch w:val="default"/>
    <w:sig w:usb0="00000000" w:usb1="00000000" w:usb2="08000012" w:usb3="00000000" w:csb0="4002009F" w:csb1="DFD70000"/>
  </w:font>
  <w:font w:name="Tahoma">
    <w:panose1 w:val="020B0604030504040204"/>
    <w:charset w:val="00"/>
    <w:family w:val="swiss"/>
    <w:pitch w:val="default"/>
    <w:sig w:usb0="E1002AFF" w:usb1="C000605B" w:usb2="00000029" w:usb3="00000000" w:csb0="200101FF" w:csb1="20280000"/>
  </w:font>
  <w:font w:name="Mincho">
    <w:altName w:val="Hiragino Sans"/>
    <w:panose1 w:val="02020609040305080305"/>
    <w:charset w:val="80"/>
    <w:family w:val="roman"/>
    <w:pitch w:val="default"/>
    <w:sig w:usb0="00000000" w:usb1="00000000" w:usb2="00000010" w:usb3="00000000" w:csb0="00020000" w:csb1="00000000"/>
  </w:font>
  <w:font w:name="Century">
    <w:altName w:val="苹方-简"/>
    <w:panose1 w:val="02040604050505020304"/>
    <w:charset w:val="00"/>
    <w:family w:val="roman"/>
    <w:pitch w:val="default"/>
    <w:sig w:usb0="00000000" w:usb1="00000000" w:usb2="00000000" w:usb3="00000000" w:csb0="2000009F" w:csb1="DFD70000"/>
  </w:font>
  <w:font w:name="等线">
    <w:altName w:val="汉仪中等线KW"/>
    <w:panose1 w:val="02010600030101010101"/>
    <w:charset w:val="86"/>
    <w:family w:val="auto"/>
    <w:pitch w:val="default"/>
    <w:sig w:usb0="00000000" w:usb1="00000000" w:usb2="00000016" w:usb3="00000000" w:csb0="0004000F" w:csb1="00000000"/>
  </w:font>
  <w:font w:name="New York">
    <w:altName w:val="苹方-简"/>
    <w:panose1 w:val="02040503060506020304"/>
    <w:charset w:val="00"/>
    <w:family w:val="roman"/>
    <w:pitch w:val="default"/>
    <w:sig w:usb0="00000000" w:usb1="00000000" w:usb2="00000000" w:usb3="00000000" w:csb0="00000001"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华文仿宋">
    <w:panose1 w:val="02010600040101010101"/>
    <w:charset w:val="86"/>
    <w:family w:val="auto"/>
    <w:pitch w:val="default"/>
    <w:sig w:usb0="00000287" w:usb1="080F0000" w:usb2="00000000" w:usb3="00000000" w:csb0="0004009F" w:csb1="DFD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Thonburi">
    <w:panose1 w:val="00000400000000000000"/>
    <w:charset w:val="00"/>
    <w:family w:val="auto"/>
    <w:pitch w:val="default"/>
    <w:sig w:usb0="01000000" w:usb1="00000000" w:usb2="00000000" w:usb3="00000000" w:csb0="20000193" w:csb1="4D000000"/>
  </w:font>
  <w:font w:name="冬青黑体简体中文">
    <w:panose1 w:val="020B0300000000000000"/>
    <w:charset w:val="86"/>
    <w:family w:val="auto"/>
    <w:pitch w:val="default"/>
    <w:sig w:usb0="A00002BF" w:usb1="1ACF7CFA" w:usb2="00000016" w:usb3="00000000" w:csb0="00060007"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CBC568"/>
    <w:multiLevelType w:val="multilevel"/>
    <w:tmpl w:val="FECBC568"/>
    <w:lvl w:ilvl="0" w:tentative="0">
      <w:start w:val="1"/>
      <w:numFmt w:val="decimal"/>
      <w:suff w:val="space"/>
      <w:lvlText w:val="%1)"/>
      <w:lvlJc w:val="left"/>
    </w:lvl>
    <w:lvl w:ilvl="1" w:tentative="0">
      <w:start w:val="1"/>
      <w:numFmt w:val="decimal"/>
      <w:suff w:val="space"/>
      <w:lvlText w:val="%1)"/>
      <w:lvlJc w:val="left"/>
      <w:pPr>
        <w:ind w:left="220"/>
      </w:pPr>
    </w:lvl>
    <w:lvl w:ilvl="2" w:tentative="0">
      <w:start w:val="1"/>
      <w:numFmt w:val="decimal"/>
      <w:suff w:val="space"/>
      <w:lvlText w:val="%1)"/>
      <w:lvlJc w:val="left"/>
      <w:pPr>
        <w:ind w:left="220"/>
      </w:p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494013"/>
    <w:multiLevelType w:val="singleLevel"/>
    <w:tmpl w:val="0249401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1C2B49"/>
    <w:multiLevelType w:val="singleLevel"/>
    <w:tmpl w:val="2D1C2B49"/>
    <w:lvl w:ilvl="0" w:tentative="0">
      <w:start w:val="1"/>
      <w:numFmt w:val="decimal"/>
      <w:suff w:val="space"/>
      <w:lvlText w:val="%1)"/>
      <w:lvlJc w:val="left"/>
      <w:pPr>
        <w:ind w:left="420"/>
      </w:p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DAF44AE"/>
    <w:multiLevelType w:val="singleLevel"/>
    <w:tmpl w:val="3DAF44AE"/>
    <w:lvl w:ilvl="0" w:tentative="0">
      <w:start w:val="1"/>
      <w:numFmt w:val="decimal"/>
      <w:suff w:val="space"/>
      <w:lvlText w:val="%1)"/>
      <w:lvlJc w:val="left"/>
    </w:lvl>
  </w:abstractNum>
  <w:abstractNum w:abstractNumId="14">
    <w:nsid w:val="3FDFE33C"/>
    <w:multiLevelType w:val="singleLevel"/>
    <w:tmpl w:val="3FDFE33C"/>
    <w:lvl w:ilvl="0" w:tentative="0">
      <w:start w:val="1"/>
      <w:numFmt w:val="decimal"/>
      <w:suff w:val="space"/>
      <w:lvlText w:val="%1)"/>
      <w:lvlJc w:val="left"/>
      <w:pPr>
        <w:ind w:left="420"/>
      </w:pPr>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CBE3D26"/>
    <w:multiLevelType w:val="multilevel"/>
    <w:tmpl w:val="5CBE3D2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3">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5">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9">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6"/>
  </w:num>
  <w:num w:numId="2">
    <w:abstractNumId w:val="1"/>
  </w:num>
  <w:num w:numId="3">
    <w:abstractNumId w:val="30"/>
  </w:num>
  <w:num w:numId="4">
    <w:abstractNumId w:val="16"/>
  </w:num>
  <w:num w:numId="5">
    <w:abstractNumId w:val="10"/>
  </w:num>
  <w:num w:numId="6">
    <w:abstractNumId w:val="12"/>
  </w:num>
  <w:num w:numId="7">
    <w:abstractNumId w:val="17"/>
  </w:num>
  <w:num w:numId="8">
    <w:abstractNumId w:val="18"/>
  </w:num>
  <w:num w:numId="9">
    <w:abstractNumId w:val="32"/>
  </w:num>
  <w:num w:numId="10">
    <w:abstractNumId w:val="19"/>
  </w:num>
  <w:num w:numId="11">
    <w:abstractNumId w:val="28"/>
  </w:num>
  <w:num w:numId="12">
    <w:abstractNumId w:val="15"/>
  </w:num>
  <w:num w:numId="13">
    <w:abstractNumId w:val="3"/>
  </w:num>
  <w:num w:numId="14">
    <w:abstractNumId w:val="5"/>
  </w:num>
  <w:num w:numId="15">
    <w:abstractNumId w:val="27"/>
  </w:num>
  <w:num w:numId="16">
    <w:abstractNumId w:val="9"/>
  </w:num>
  <w:num w:numId="17">
    <w:abstractNumId w:val="23"/>
  </w:num>
  <w:num w:numId="18">
    <w:abstractNumId w:val="29"/>
  </w:num>
  <w:num w:numId="19">
    <w:abstractNumId w:val="4"/>
  </w:num>
  <w:num w:numId="20">
    <w:abstractNumId w:val="31"/>
  </w:num>
  <w:num w:numId="21">
    <w:abstractNumId w:val="25"/>
  </w:num>
  <w:num w:numId="22">
    <w:abstractNumId w:val="11"/>
  </w:num>
  <w:num w:numId="23">
    <w:abstractNumId w:val="20"/>
  </w:num>
  <w:num w:numId="24">
    <w:abstractNumId w:val="21"/>
  </w:num>
  <w:num w:numId="25">
    <w:abstractNumId w:val="7"/>
  </w:num>
  <w:num w:numId="26">
    <w:abstractNumId w:val="6"/>
  </w:num>
  <w:num w:numId="27">
    <w:abstractNumId w:val="24"/>
  </w:num>
  <w:num w:numId="28">
    <w:abstractNumId w:val="22"/>
  </w:num>
  <w:num w:numId="29">
    <w:abstractNumId w:val="13"/>
  </w:num>
  <w:num w:numId="30">
    <w:abstractNumId w:val="8"/>
  </w:num>
  <w:num w:numId="31">
    <w:abstractNumId w:val="0"/>
  </w:num>
  <w:num w:numId="32">
    <w:abstractNumId w:val="1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A05965"/>
    <w:rsid w:val="01A77D63"/>
    <w:rsid w:val="01BFAE9A"/>
    <w:rsid w:val="01DE3393"/>
    <w:rsid w:val="01E42444"/>
    <w:rsid w:val="01EC1AE7"/>
    <w:rsid w:val="01FA450B"/>
    <w:rsid w:val="01FB425C"/>
    <w:rsid w:val="020E1AA3"/>
    <w:rsid w:val="0227194A"/>
    <w:rsid w:val="023D4A41"/>
    <w:rsid w:val="025B0A58"/>
    <w:rsid w:val="025D2470"/>
    <w:rsid w:val="0276784A"/>
    <w:rsid w:val="027B3ED9"/>
    <w:rsid w:val="02B65D5B"/>
    <w:rsid w:val="02C34159"/>
    <w:rsid w:val="02C92F30"/>
    <w:rsid w:val="02CD1073"/>
    <w:rsid w:val="02EB1AD6"/>
    <w:rsid w:val="030848E7"/>
    <w:rsid w:val="030E3C83"/>
    <w:rsid w:val="030F7C19"/>
    <w:rsid w:val="032E5078"/>
    <w:rsid w:val="035C7A28"/>
    <w:rsid w:val="035D1B01"/>
    <w:rsid w:val="038F0263"/>
    <w:rsid w:val="0392734D"/>
    <w:rsid w:val="03A300F7"/>
    <w:rsid w:val="03A515A1"/>
    <w:rsid w:val="03B175C4"/>
    <w:rsid w:val="03B67E06"/>
    <w:rsid w:val="03B91D4B"/>
    <w:rsid w:val="03C70711"/>
    <w:rsid w:val="04080A73"/>
    <w:rsid w:val="042F14C5"/>
    <w:rsid w:val="0444242C"/>
    <w:rsid w:val="045308D9"/>
    <w:rsid w:val="045D09F3"/>
    <w:rsid w:val="045F4DED"/>
    <w:rsid w:val="046702C7"/>
    <w:rsid w:val="04685349"/>
    <w:rsid w:val="046F4A9A"/>
    <w:rsid w:val="04A70542"/>
    <w:rsid w:val="04B403C6"/>
    <w:rsid w:val="04B42320"/>
    <w:rsid w:val="04B57040"/>
    <w:rsid w:val="04E464D2"/>
    <w:rsid w:val="04E8635A"/>
    <w:rsid w:val="04F206B2"/>
    <w:rsid w:val="050A125C"/>
    <w:rsid w:val="053104EC"/>
    <w:rsid w:val="053243B7"/>
    <w:rsid w:val="05433B3B"/>
    <w:rsid w:val="0552166D"/>
    <w:rsid w:val="055E09C8"/>
    <w:rsid w:val="056F31B8"/>
    <w:rsid w:val="05806D70"/>
    <w:rsid w:val="05807774"/>
    <w:rsid w:val="05896D6E"/>
    <w:rsid w:val="059C6674"/>
    <w:rsid w:val="05A31ECA"/>
    <w:rsid w:val="05C226E1"/>
    <w:rsid w:val="05CA35C7"/>
    <w:rsid w:val="05E0590D"/>
    <w:rsid w:val="05FD0556"/>
    <w:rsid w:val="060706F2"/>
    <w:rsid w:val="060A6A57"/>
    <w:rsid w:val="060E0805"/>
    <w:rsid w:val="062F3A9D"/>
    <w:rsid w:val="06313A82"/>
    <w:rsid w:val="063365EE"/>
    <w:rsid w:val="063659DA"/>
    <w:rsid w:val="06521711"/>
    <w:rsid w:val="06523A46"/>
    <w:rsid w:val="0679036E"/>
    <w:rsid w:val="067B1A3C"/>
    <w:rsid w:val="06AF3684"/>
    <w:rsid w:val="06B4338F"/>
    <w:rsid w:val="06BD45EC"/>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3B1FBE"/>
    <w:rsid w:val="0942392A"/>
    <w:rsid w:val="09554244"/>
    <w:rsid w:val="095F0A6F"/>
    <w:rsid w:val="096B504E"/>
    <w:rsid w:val="096D6A73"/>
    <w:rsid w:val="09705D19"/>
    <w:rsid w:val="098D32A6"/>
    <w:rsid w:val="09A1520F"/>
    <w:rsid w:val="09AD672F"/>
    <w:rsid w:val="09B13E21"/>
    <w:rsid w:val="09B41CA1"/>
    <w:rsid w:val="09BD6330"/>
    <w:rsid w:val="09D702BC"/>
    <w:rsid w:val="0A0E3D07"/>
    <w:rsid w:val="0A380F28"/>
    <w:rsid w:val="0A87677A"/>
    <w:rsid w:val="0A9749D3"/>
    <w:rsid w:val="0ABB76F1"/>
    <w:rsid w:val="0ABFCAE3"/>
    <w:rsid w:val="0AED09C6"/>
    <w:rsid w:val="0AF7356B"/>
    <w:rsid w:val="0B2226D0"/>
    <w:rsid w:val="0B32686B"/>
    <w:rsid w:val="0B4273D0"/>
    <w:rsid w:val="0B4A1D77"/>
    <w:rsid w:val="0B4D7C8D"/>
    <w:rsid w:val="0B6D0532"/>
    <w:rsid w:val="0B811AED"/>
    <w:rsid w:val="0B9D1EDA"/>
    <w:rsid w:val="0BAF39BC"/>
    <w:rsid w:val="0BB946FF"/>
    <w:rsid w:val="0BBF38E5"/>
    <w:rsid w:val="0BCF2907"/>
    <w:rsid w:val="0BDF7FE1"/>
    <w:rsid w:val="0BE85556"/>
    <w:rsid w:val="0BEF6379"/>
    <w:rsid w:val="0BFC3CFF"/>
    <w:rsid w:val="0C0C0559"/>
    <w:rsid w:val="0C1D440F"/>
    <w:rsid w:val="0C284EC8"/>
    <w:rsid w:val="0C3F38BA"/>
    <w:rsid w:val="0C4A1412"/>
    <w:rsid w:val="0C973F44"/>
    <w:rsid w:val="0CB30B60"/>
    <w:rsid w:val="0CBD4403"/>
    <w:rsid w:val="0D013BBD"/>
    <w:rsid w:val="0D0718B9"/>
    <w:rsid w:val="0D217B8D"/>
    <w:rsid w:val="0D2B0F8F"/>
    <w:rsid w:val="0D2F3C11"/>
    <w:rsid w:val="0D641404"/>
    <w:rsid w:val="0D65199B"/>
    <w:rsid w:val="0D7C1637"/>
    <w:rsid w:val="0D8A0195"/>
    <w:rsid w:val="0D8A2613"/>
    <w:rsid w:val="0D8B4B92"/>
    <w:rsid w:val="0D92096D"/>
    <w:rsid w:val="0DC86AD9"/>
    <w:rsid w:val="0DEC7475"/>
    <w:rsid w:val="0E0B1B42"/>
    <w:rsid w:val="0E1A0520"/>
    <w:rsid w:val="0E22667F"/>
    <w:rsid w:val="0E4C269D"/>
    <w:rsid w:val="0E5F500E"/>
    <w:rsid w:val="0E657CC6"/>
    <w:rsid w:val="0E6755CC"/>
    <w:rsid w:val="0E721BC1"/>
    <w:rsid w:val="0E742594"/>
    <w:rsid w:val="0E7A5965"/>
    <w:rsid w:val="0EB02D5D"/>
    <w:rsid w:val="0EB0481F"/>
    <w:rsid w:val="0EB31C68"/>
    <w:rsid w:val="0EBF58D7"/>
    <w:rsid w:val="0ECF0C53"/>
    <w:rsid w:val="0EE41340"/>
    <w:rsid w:val="0EF21695"/>
    <w:rsid w:val="0F3410AE"/>
    <w:rsid w:val="0F403C9D"/>
    <w:rsid w:val="0F425016"/>
    <w:rsid w:val="0F51018B"/>
    <w:rsid w:val="0F624883"/>
    <w:rsid w:val="0F6428CD"/>
    <w:rsid w:val="0F771228"/>
    <w:rsid w:val="0FAA2CD8"/>
    <w:rsid w:val="0FAD2E15"/>
    <w:rsid w:val="0FB17ACB"/>
    <w:rsid w:val="0FB3423F"/>
    <w:rsid w:val="0FC67B61"/>
    <w:rsid w:val="0FD82162"/>
    <w:rsid w:val="0FDB3902"/>
    <w:rsid w:val="0FDF62CB"/>
    <w:rsid w:val="0FE20680"/>
    <w:rsid w:val="0FE81BCC"/>
    <w:rsid w:val="0FE864B1"/>
    <w:rsid w:val="0FE92E69"/>
    <w:rsid w:val="0FF16A91"/>
    <w:rsid w:val="10042CED"/>
    <w:rsid w:val="100B30CB"/>
    <w:rsid w:val="100C2D50"/>
    <w:rsid w:val="10267E1A"/>
    <w:rsid w:val="103F2A0A"/>
    <w:rsid w:val="105D3236"/>
    <w:rsid w:val="1088161D"/>
    <w:rsid w:val="10B4026F"/>
    <w:rsid w:val="10C3028B"/>
    <w:rsid w:val="10C37F71"/>
    <w:rsid w:val="111067C2"/>
    <w:rsid w:val="11244E4F"/>
    <w:rsid w:val="11652D87"/>
    <w:rsid w:val="116C3E69"/>
    <w:rsid w:val="1175638D"/>
    <w:rsid w:val="118925D3"/>
    <w:rsid w:val="11925166"/>
    <w:rsid w:val="119E6AC4"/>
    <w:rsid w:val="11C7409E"/>
    <w:rsid w:val="11C87E11"/>
    <w:rsid w:val="11D47AC4"/>
    <w:rsid w:val="11D7130D"/>
    <w:rsid w:val="11E95A8C"/>
    <w:rsid w:val="11F86EF9"/>
    <w:rsid w:val="11FB3F48"/>
    <w:rsid w:val="11FB7852"/>
    <w:rsid w:val="121014F6"/>
    <w:rsid w:val="126C1840"/>
    <w:rsid w:val="12712EF2"/>
    <w:rsid w:val="127B7A0A"/>
    <w:rsid w:val="12960B26"/>
    <w:rsid w:val="129E6898"/>
    <w:rsid w:val="12CD26D1"/>
    <w:rsid w:val="12D270D2"/>
    <w:rsid w:val="12DA33CA"/>
    <w:rsid w:val="12EC2AC3"/>
    <w:rsid w:val="12FD4AB1"/>
    <w:rsid w:val="13035AB6"/>
    <w:rsid w:val="13041DB3"/>
    <w:rsid w:val="132414A3"/>
    <w:rsid w:val="134555D6"/>
    <w:rsid w:val="134A7123"/>
    <w:rsid w:val="135B2844"/>
    <w:rsid w:val="13887AF9"/>
    <w:rsid w:val="138E4DA7"/>
    <w:rsid w:val="13A20C9E"/>
    <w:rsid w:val="13B50669"/>
    <w:rsid w:val="13B74306"/>
    <w:rsid w:val="13F56BD4"/>
    <w:rsid w:val="14062C4D"/>
    <w:rsid w:val="141472D0"/>
    <w:rsid w:val="14225B13"/>
    <w:rsid w:val="14246A1F"/>
    <w:rsid w:val="14274617"/>
    <w:rsid w:val="142D0203"/>
    <w:rsid w:val="143A7171"/>
    <w:rsid w:val="144E1A7C"/>
    <w:rsid w:val="14587793"/>
    <w:rsid w:val="14650CAE"/>
    <w:rsid w:val="147113CB"/>
    <w:rsid w:val="14763BA7"/>
    <w:rsid w:val="148114CB"/>
    <w:rsid w:val="14921F90"/>
    <w:rsid w:val="149B6FD1"/>
    <w:rsid w:val="14B62267"/>
    <w:rsid w:val="14C758E7"/>
    <w:rsid w:val="14D60C00"/>
    <w:rsid w:val="15391F01"/>
    <w:rsid w:val="153C2764"/>
    <w:rsid w:val="156E6D8C"/>
    <w:rsid w:val="156F0C08"/>
    <w:rsid w:val="156F2263"/>
    <w:rsid w:val="15724F8B"/>
    <w:rsid w:val="15B44299"/>
    <w:rsid w:val="15DD707B"/>
    <w:rsid w:val="15E662A0"/>
    <w:rsid w:val="160209DF"/>
    <w:rsid w:val="16117F11"/>
    <w:rsid w:val="16240E56"/>
    <w:rsid w:val="163D0174"/>
    <w:rsid w:val="1669724C"/>
    <w:rsid w:val="16754CF7"/>
    <w:rsid w:val="167939BA"/>
    <w:rsid w:val="16811702"/>
    <w:rsid w:val="169C020A"/>
    <w:rsid w:val="16C97B1E"/>
    <w:rsid w:val="16FD4684"/>
    <w:rsid w:val="16FF2744"/>
    <w:rsid w:val="17090886"/>
    <w:rsid w:val="172F756B"/>
    <w:rsid w:val="174C573A"/>
    <w:rsid w:val="17530D3F"/>
    <w:rsid w:val="17637CAA"/>
    <w:rsid w:val="17642A82"/>
    <w:rsid w:val="17880428"/>
    <w:rsid w:val="179C3BAA"/>
    <w:rsid w:val="17DA3C99"/>
    <w:rsid w:val="17E71267"/>
    <w:rsid w:val="17F42790"/>
    <w:rsid w:val="181C3988"/>
    <w:rsid w:val="18311F9D"/>
    <w:rsid w:val="1858112E"/>
    <w:rsid w:val="1864683F"/>
    <w:rsid w:val="187003CA"/>
    <w:rsid w:val="1870271F"/>
    <w:rsid w:val="18756F44"/>
    <w:rsid w:val="18764D00"/>
    <w:rsid w:val="188522AB"/>
    <w:rsid w:val="18B67761"/>
    <w:rsid w:val="18DD4580"/>
    <w:rsid w:val="18F04206"/>
    <w:rsid w:val="18FD04BD"/>
    <w:rsid w:val="19122360"/>
    <w:rsid w:val="192A5F9C"/>
    <w:rsid w:val="192E3BDE"/>
    <w:rsid w:val="19610796"/>
    <w:rsid w:val="19625EA7"/>
    <w:rsid w:val="198B4299"/>
    <w:rsid w:val="198C3F9E"/>
    <w:rsid w:val="19B063A8"/>
    <w:rsid w:val="19B513D5"/>
    <w:rsid w:val="19CC392B"/>
    <w:rsid w:val="19FA202D"/>
    <w:rsid w:val="19FC4481"/>
    <w:rsid w:val="1A0B7235"/>
    <w:rsid w:val="1A0C5994"/>
    <w:rsid w:val="1A1E312F"/>
    <w:rsid w:val="1A200A73"/>
    <w:rsid w:val="1A201A21"/>
    <w:rsid w:val="1A2A4CCA"/>
    <w:rsid w:val="1A2D0BB7"/>
    <w:rsid w:val="1A440536"/>
    <w:rsid w:val="1A544300"/>
    <w:rsid w:val="1A734F0A"/>
    <w:rsid w:val="1A847D79"/>
    <w:rsid w:val="1A9351CC"/>
    <w:rsid w:val="1AE9373A"/>
    <w:rsid w:val="1AF00B66"/>
    <w:rsid w:val="1AF744A0"/>
    <w:rsid w:val="1AF74BFB"/>
    <w:rsid w:val="1B030291"/>
    <w:rsid w:val="1B1E08AD"/>
    <w:rsid w:val="1B1F2A63"/>
    <w:rsid w:val="1B2E0911"/>
    <w:rsid w:val="1B39581A"/>
    <w:rsid w:val="1B3CCEB6"/>
    <w:rsid w:val="1B4B454D"/>
    <w:rsid w:val="1B4F16E8"/>
    <w:rsid w:val="1B521834"/>
    <w:rsid w:val="1B523BB6"/>
    <w:rsid w:val="1B5D0142"/>
    <w:rsid w:val="1B7549E9"/>
    <w:rsid w:val="1B840E0F"/>
    <w:rsid w:val="1B8766FD"/>
    <w:rsid w:val="1B8E6BCD"/>
    <w:rsid w:val="1B91521D"/>
    <w:rsid w:val="1BB15B77"/>
    <w:rsid w:val="1BB57BDE"/>
    <w:rsid w:val="1BCF1086"/>
    <w:rsid w:val="1BEA0FE8"/>
    <w:rsid w:val="1BF35266"/>
    <w:rsid w:val="1BFDDD07"/>
    <w:rsid w:val="1C0A197B"/>
    <w:rsid w:val="1C1355FA"/>
    <w:rsid w:val="1C1E3D78"/>
    <w:rsid w:val="1C247316"/>
    <w:rsid w:val="1C2709E7"/>
    <w:rsid w:val="1C3E267B"/>
    <w:rsid w:val="1C430D27"/>
    <w:rsid w:val="1C4E1D4E"/>
    <w:rsid w:val="1C593326"/>
    <w:rsid w:val="1C6875C3"/>
    <w:rsid w:val="1C692D59"/>
    <w:rsid w:val="1C812CD0"/>
    <w:rsid w:val="1C911B84"/>
    <w:rsid w:val="1C990B9B"/>
    <w:rsid w:val="1C9F2908"/>
    <w:rsid w:val="1CA15224"/>
    <w:rsid w:val="1CBB0016"/>
    <w:rsid w:val="1CD46CF8"/>
    <w:rsid w:val="1CEA5442"/>
    <w:rsid w:val="1CF16498"/>
    <w:rsid w:val="1CFA3FB4"/>
    <w:rsid w:val="1CFC540D"/>
    <w:rsid w:val="1D150FC5"/>
    <w:rsid w:val="1D1720A0"/>
    <w:rsid w:val="1D207CA9"/>
    <w:rsid w:val="1D2B18B9"/>
    <w:rsid w:val="1D2B272B"/>
    <w:rsid w:val="1D335F4F"/>
    <w:rsid w:val="1D452306"/>
    <w:rsid w:val="1D73A2A9"/>
    <w:rsid w:val="1D7D05B1"/>
    <w:rsid w:val="1D8A755E"/>
    <w:rsid w:val="1D995E6E"/>
    <w:rsid w:val="1DD71A40"/>
    <w:rsid w:val="1DDB5CA8"/>
    <w:rsid w:val="1DEB1059"/>
    <w:rsid w:val="1E0F6EB6"/>
    <w:rsid w:val="1E15092B"/>
    <w:rsid w:val="1E3C7C2A"/>
    <w:rsid w:val="1E3D5D47"/>
    <w:rsid w:val="1E4D4571"/>
    <w:rsid w:val="1E571016"/>
    <w:rsid w:val="1E67352C"/>
    <w:rsid w:val="1E7D6B4F"/>
    <w:rsid w:val="1EB50F1D"/>
    <w:rsid w:val="1EBC3474"/>
    <w:rsid w:val="1ED372E1"/>
    <w:rsid w:val="1ED56363"/>
    <w:rsid w:val="1ED744A9"/>
    <w:rsid w:val="1EF7446D"/>
    <w:rsid w:val="1EFEE7AD"/>
    <w:rsid w:val="1EFF2823"/>
    <w:rsid w:val="1F0054E3"/>
    <w:rsid w:val="1F0A132A"/>
    <w:rsid w:val="1F14527F"/>
    <w:rsid w:val="1F3232CA"/>
    <w:rsid w:val="1F544AE7"/>
    <w:rsid w:val="1F8D7653"/>
    <w:rsid w:val="1F953F9B"/>
    <w:rsid w:val="1F973C6D"/>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951C9"/>
    <w:rsid w:val="21A7698E"/>
    <w:rsid w:val="21A8300F"/>
    <w:rsid w:val="21B95DF9"/>
    <w:rsid w:val="21BA5141"/>
    <w:rsid w:val="21BF1470"/>
    <w:rsid w:val="21F0107D"/>
    <w:rsid w:val="220021FF"/>
    <w:rsid w:val="22486A9B"/>
    <w:rsid w:val="224E18AF"/>
    <w:rsid w:val="22627E92"/>
    <w:rsid w:val="227007B2"/>
    <w:rsid w:val="227B42A0"/>
    <w:rsid w:val="229141AD"/>
    <w:rsid w:val="229321A2"/>
    <w:rsid w:val="229376B9"/>
    <w:rsid w:val="229677D4"/>
    <w:rsid w:val="22AF411A"/>
    <w:rsid w:val="22BD3BF6"/>
    <w:rsid w:val="22BE3CFE"/>
    <w:rsid w:val="22CB5B7B"/>
    <w:rsid w:val="22EF2060"/>
    <w:rsid w:val="22F93F5E"/>
    <w:rsid w:val="23023A13"/>
    <w:rsid w:val="2313678A"/>
    <w:rsid w:val="231836E5"/>
    <w:rsid w:val="232F75C6"/>
    <w:rsid w:val="2334020F"/>
    <w:rsid w:val="23387DA7"/>
    <w:rsid w:val="233A7490"/>
    <w:rsid w:val="233E5332"/>
    <w:rsid w:val="23485D5B"/>
    <w:rsid w:val="23694C86"/>
    <w:rsid w:val="238B4E5F"/>
    <w:rsid w:val="239D1587"/>
    <w:rsid w:val="23C20F3E"/>
    <w:rsid w:val="23C41629"/>
    <w:rsid w:val="23CD709E"/>
    <w:rsid w:val="23F52C20"/>
    <w:rsid w:val="24091697"/>
    <w:rsid w:val="2417512A"/>
    <w:rsid w:val="243D7BB4"/>
    <w:rsid w:val="24412907"/>
    <w:rsid w:val="24483907"/>
    <w:rsid w:val="2455387F"/>
    <w:rsid w:val="245576DD"/>
    <w:rsid w:val="245579D7"/>
    <w:rsid w:val="24961947"/>
    <w:rsid w:val="249726CE"/>
    <w:rsid w:val="249D0B38"/>
    <w:rsid w:val="24A33F9D"/>
    <w:rsid w:val="24A422CE"/>
    <w:rsid w:val="24D874FB"/>
    <w:rsid w:val="24E32DA5"/>
    <w:rsid w:val="24EE3868"/>
    <w:rsid w:val="24F95669"/>
    <w:rsid w:val="25072BA2"/>
    <w:rsid w:val="250A75F0"/>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11234C"/>
    <w:rsid w:val="26157A9A"/>
    <w:rsid w:val="26166C60"/>
    <w:rsid w:val="262162A4"/>
    <w:rsid w:val="262A7837"/>
    <w:rsid w:val="26370F9E"/>
    <w:rsid w:val="264A04A5"/>
    <w:rsid w:val="26770BF0"/>
    <w:rsid w:val="26784C00"/>
    <w:rsid w:val="2684172F"/>
    <w:rsid w:val="26A05C56"/>
    <w:rsid w:val="26A7680A"/>
    <w:rsid w:val="26AD329C"/>
    <w:rsid w:val="26B2270B"/>
    <w:rsid w:val="26EB4E1D"/>
    <w:rsid w:val="26FF2513"/>
    <w:rsid w:val="26FF5A08"/>
    <w:rsid w:val="27011163"/>
    <w:rsid w:val="271127A1"/>
    <w:rsid w:val="2737798E"/>
    <w:rsid w:val="273F8218"/>
    <w:rsid w:val="276F47C4"/>
    <w:rsid w:val="27915401"/>
    <w:rsid w:val="27931F98"/>
    <w:rsid w:val="27965DF0"/>
    <w:rsid w:val="27AE3022"/>
    <w:rsid w:val="27B125D5"/>
    <w:rsid w:val="27F53F26"/>
    <w:rsid w:val="28202FCE"/>
    <w:rsid w:val="28221485"/>
    <w:rsid w:val="2826493B"/>
    <w:rsid w:val="284FB7CD"/>
    <w:rsid w:val="285B1956"/>
    <w:rsid w:val="285C498E"/>
    <w:rsid w:val="28823F1E"/>
    <w:rsid w:val="288D4CC2"/>
    <w:rsid w:val="288E5774"/>
    <w:rsid w:val="28A94470"/>
    <w:rsid w:val="28AC622B"/>
    <w:rsid w:val="28B075BE"/>
    <w:rsid w:val="28BC1DE9"/>
    <w:rsid w:val="28D82F7E"/>
    <w:rsid w:val="28DC03DE"/>
    <w:rsid w:val="28EB3A97"/>
    <w:rsid w:val="28EF5563"/>
    <w:rsid w:val="28F858F5"/>
    <w:rsid w:val="290B640E"/>
    <w:rsid w:val="292D7DD5"/>
    <w:rsid w:val="293728A0"/>
    <w:rsid w:val="29405C7A"/>
    <w:rsid w:val="2958061E"/>
    <w:rsid w:val="29653351"/>
    <w:rsid w:val="29675EF0"/>
    <w:rsid w:val="29836F76"/>
    <w:rsid w:val="29873207"/>
    <w:rsid w:val="29937051"/>
    <w:rsid w:val="29AF09E7"/>
    <w:rsid w:val="29BD1AEA"/>
    <w:rsid w:val="29C126A2"/>
    <w:rsid w:val="29C31412"/>
    <w:rsid w:val="29CC4DB4"/>
    <w:rsid w:val="29CFD1D5"/>
    <w:rsid w:val="29D44E2A"/>
    <w:rsid w:val="29E779D4"/>
    <w:rsid w:val="29FB38BD"/>
    <w:rsid w:val="2A3866D9"/>
    <w:rsid w:val="2A952F61"/>
    <w:rsid w:val="2AAFB08D"/>
    <w:rsid w:val="2AD838B4"/>
    <w:rsid w:val="2AD8668E"/>
    <w:rsid w:val="2AFB07B3"/>
    <w:rsid w:val="2B1859F0"/>
    <w:rsid w:val="2B1F140B"/>
    <w:rsid w:val="2B280F93"/>
    <w:rsid w:val="2B3C61AC"/>
    <w:rsid w:val="2B3F59A9"/>
    <w:rsid w:val="2B642A3F"/>
    <w:rsid w:val="2B650FCD"/>
    <w:rsid w:val="2B863BF8"/>
    <w:rsid w:val="2B8B5E0F"/>
    <w:rsid w:val="2BB60EC3"/>
    <w:rsid w:val="2BC9008F"/>
    <w:rsid w:val="2BE14068"/>
    <w:rsid w:val="2BE3773E"/>
    <w:rsid w:val="2BEE5F73"/>
    <w:rsid w:val="2BEF4612"/>
    <w:rsid w:val="2BFF3DCC"/>
    <w:rsid w:val="2C2568C8"/>
    <w:rsid w:val="2C395BA5"/>
    <w:rsid w:val="2C3D34D5"/>
    <w:rsid w:val="2C5540E6"/>
    <w:rsid w:val="2C6F313D"/>
    <w:rsid w:val="2C7E00A0"/>
    <w:rsid w:val="2C9D1056"/>
    <w:rsid w:val="2CE45DBD"/>
    <w:rsid w:val="2CF36669"/>
    <w:rsid w:val="2CF670D3"/>
    <w:rsid w:val="2D0265D3"/>
    <w:rsid w:val="2D075D96"/>
    <w:rsid w:val="2D281E31"/>
    <w:rsid w:val="2D397C4C"/>
    <w:rsid w:val="2D446AC7"/>
    <w:rsid w:val="2D4B78AC"/>
    <w:rsid w:val="2D5D0343"/>
    <w:rsid w:val="2D6C4DF0"/>
    <w:rsid w:val="2D7E3C87"/>
    <w:rsid w:val="2DA01E4F"/>
    <w:rsid w:val="2DA47739"/>
    <w:rsid w:val="2DDF2977"/>
    <w:rsid w:val="2DEA1202"/>
    <w:rsid w:val="2DF20AEF"/>
    <w:rsid w:val="2DFF98BB"/>
    <w:rsid w:val="2DFFCB8B"/>
    <w:rsid w:val="2E051F82"/>
    <w:rsid w:val="2E4329AA"/>
    <w:rsid w:val="2E604DAD"/>
    <w:rsid w:val="2E6C1280"/>
    <w:rsid w:val="2E816C11"/>
    <w:rsid w:val="2E933902"/>
    <w:rsid w:val="2EBE6F20"/>
    <w:rsid w:val="2EC279FB"/>
    <w:rsid w:val="2ECD7CAD"/>
    <w:rsid w:val="2ED536B1"/>
    <w:rsid w:val="2EDD342A"/>
    <w:rsid w:val="2EF129F8"/>
    <w:rsid w:val="2EFF01DE"/>
    <w:rsid w:val="2F152A23"/>
    <w:rsid w:val="2F2B3C56"/>
    <w:rsid w:val="2F4D3702"/>
    <w:rsid w:val="2F5FD547"/>
    <w:rsid w:val="2F780AB2"/>
    <w:rsid w:val="2F7A2ED4"/>
    <w:rsid w:val="2F7A3D01"/>
    <w:rsid w:val="2F985BB8"/>
    <w:rsid w:val="2FB35334"/>
    <w:rsid w:val="2FC93349"/>
    <w:rsid w:val="2FF5BA3D"/>
    <w:rsid w:val="300E4218"/>
    <w:rsid w:val="30102B6E"/>
    <w:rsid w:val="302C20AA"/>
    <w:rsid w:val="30566A7B"/>
    <w:rsid w:val="305C0857"/>
    <w:rsid w:val="307B62CE"/>
    <w:rsid w:val="30853026"/>
    <w:rsid w:val="30881314"/>
    <w:rsid w:val="30886E22"/>
    <w:rsid w:val="309433BD"/>
    <w:rsid w:val="30B80747"/>
    <w:rsid w:val="30C068F2"/>
    <w:rsid w:val="30E30271"/>
    <w:rsid w:val="30E65C36"/>
    <w:rsid w:val="30E83650"/>
    <w:rsid w:val="30FC3F6A"/>
    <w:rsid w:val="31273325"/>
    <w:rsid w:val="313C0D86"/>
    <w:rsid w:val="31407E48"/>
    <w:rsid w:val="31615B70"/>
    <w:rsid w:val="31856ECC"/>
    <w:rsid w:val="31CA6F4F"/>
    <w:rsid w:val="31F5B149"/>
    <w:rsid w:val="320C02CE"/>
    <w:rsid w:val="321E5346"/>
    <w:rsid w:val="32255EBA"/>
    <w:rsid w:val="322D18A1"/>
    <w:rsid w:val="323825DD"/>
    <w:rsid w:val="32402C11"/>
    <w:rsid w:val="3258119C"/>
    <w:rsid w:val="325E6A21"/>
    <w:rsid w:val="326F36A6"/>
    <w:rsid w:val="326F76CF"/>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000AD"/>
    <w:rsid w:val="3359184A"/>
    <w:rsid w:val="33663C91"/>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BB131C"/>
    <w:rsid w:val="34C23A8A"/>
    <w:rsid w:val="34D10B40"/>
    <w:rsid w:val="34DD24FD"/>
    <w:rsid w:val="34ED7240"/>
    <w:rsid w:val="35136925"/>
    <w:rsid w:val="355377A7"/>
    <w:rsid w:val="355F7BB3"/>
    <w:rsid w:val="35616470"/>
    <w:rsid w:val="35635B24"/>
    <w:rsid w:val="35714000"/>
    <w:rsid w:val="35946631"/>
    <w:rsid w:val="359A3911"/>
    <w:rsid w:val="35A00268"/>
    <w:rsid w:val="35A023A7"/>
    <w:rsid w:val="35A63FBA"/>
    <w:rsid w:val="35C16E06"/>
    <w:rsid w:val="35D96D8A"/>
    <w:rsid w:val="35EA0B0A"/>
    <w:rsid w:val="35F1067B"/>
    <w:rsid w:val="360A255B"/>
    <w:rsid w:val="361B22E7"/>
    <w:rsid w:val="363218F8"/>
    <w:rsid w:val="363D610B"/>
    <w:rsid w:val="366854D4"/>
    <w:rsid w:val="36797CA0"/>
    <w:rsid w:val="368C21D4"/>
    <w:rsid w:val="36B0140A"/>
    <w:rsid w:val="36B73ED0"/>
    <w:rsid w:val="36E27034"/>
    <w:rsid w:val="37021EA4"/>
    <w:rsid w:val="37032E49"/>
    <w:rsid w:val="373C0908"/>
    <w:rsid w:val="3754317B"/>
    <w:rsid w:val="376343E3"/>
    <w:rsid w:val="377D687A"/>
    <w:rsid w:val="37D1096C"/>
    <w:rsid w:val="37D116D4"/>
    <w:rsid w:val="37D72F30"/>
    <w:rsid w:val="37E70202"/>
    <w:rsid w:val="37F4771F"/>
    <w:rsid w:val="37FF13FE"/>
    <w:rsid w:val="380A00FA"/>
    <w:rsid w:val="381B5A9D"/>
    <w:rsid w:val="3834429E"/>
    <w:rsid w:val="38765B93"/>
    <w:rsid w:val="38AA05FF"/>
    <w:rsid w:val="38B75852"/>
    <w:rsid w:val="38BB4CC1"/>
    <w:rsid w:val="38E00D4B"/>
    <w:rsid w:val="38EF1104"/>
    <w:rsid w:val="38FA4CEB"/>
    <w:rsid w:val="391D7DB8"/>
    <w:rsid w:val="392C6A16"/>
    <w:rsid w:val="39390E32"/>
    <w:rsid w:val="394C2E8B"/>
    <w:rsid w:val="394E551E"/>
    <w:rsid w:val="395062A7"/>
    <w:rsid w:val="39653BBE"/>
    <w:rsid w:val="397E30A1"/>
    <w:rsid w:val="3981263C"/>
    <w:rsid w:val="39957E5A"/>
    <w:rsid w:val="39BD417A"/>
    <w:rsid w:val="39D2618B"/>
    <w:rsid w:val="39DC7A5C"/>
    <w:rsid w:val="39F01D9F"/>
    <w:rsid w:val="39F7C825"/>
    <w:rsid w:val="3A062B94"/>
    <w:rsid w:val="3A146E69"/>
    <w:rsid w:val="3A184B1B"/>
    <w:rsid w:val="3A1F6904"/>
    <w:rsid w:val="3A30015A"/>
    <w:rsid w:val="3A5913BB"/>
    <w:rsid w:val="3A6C716A"/>
    <w:rsid w:val="3A7611A4"/>
    <w:rsid w:val="3A7E7084"/>
    <w:rsid w:val="3A992A45"/>
    <w:rsid w:val="3A9A0868"/>
    <w:rsid w:val="3A9E541F"/>
    <w:rsid w:val="3AB9DF68"/>
    <w:rsid w:val="3AF84629"/>
    <w:rsid w:val="3AF905D2"/>
    <w:rsid w:val="3B0F2EF8"/>
    <w:rsid w:val="3B142964"/>
    <w:rsid w:val="3B1F6356"/>
    <w:rsid w:val="3B3636FF"/>
    <w:rsid w:val="3B45403E"/>
    <w:rsid w:val="3B5D6FA5"/>
    <w:rsid w:val="3B7E5B87"/>
    <w:rsid w:val="3B7FDC73"/>
    <w:rsid w:val="3B8B1440"/>
    <w:rsid w:val="3BBBFB3C"/>
    <w:rsid w:val="3BCA6819"/>
    <w:rsid w:val="3BD51F7B"/>
    <w:rsid w:val="3BE512AD"/>
    <w:rsid w:val="3BEE5E77"/>
    <w:rsid w:val="3BF3033E"/>
    <w:rsid w:val="3BFE78F4"/>
    <w:rsid w:val="3C001E0A"/>
    <w:rsid w:val="3C3C6A5E"/>
    <w:rsid w:val="3C4F11CB"/>
    <w:rsid w:val="3C6E3551"/>
    <w:rsid w:val="3C8E44D5"/>
    <w:rsid w:val="3C907375"/>
    <w:rsid w:val="3C9D54A1"/>
    <w:rsid w:val="3CB7777E"/>
    <w:rsid w:val="3CBD7CCD"/>
    <w:rsid w:val="3CCA72F1"/>
    <w:rsid w:val="3CCF0A8C"/>
    <w:rsid w:val="3CE010C1"/>
    <w:rsid w:val="3CE66F9E"/>
    <w:rsid w:val="3CEE6B23"/>
    <w:rsid w:val="3CF05EED"/>
    <w:rsid w:val="3CF073E6"/>
    <w:rsid w:val="3CFBEA4B"/>
    <w:rsid w:val="3D0A20B5"/>
    <w:rsid w:val="3D1926B0"/>
    <w:rsid w:val="3D194F4B"/>
    <w:rsid w:val="3D357512"/>
    <w:rsid w:val="3D3F48F6"/>
    <w:rsid w:val="3D646E47"/>
    <w:rsid w:val="3D6F2441"/>
    <w:rsid w:val="3D714F53"/>
    <w:rsid w:val="3D7B5414"/>
    <w:rsid w:val="3D8A22E5"/>
    <w:rsid w:val="3D8A3FBE"/>
    <w:rsid w:val="3D9956F7"/>
    <w:rsid w:val="3DA56F2A"/>
    <w:rsid w:val="3DFD2F85"/>
    <w:rsid w:val="3E0C4398"/>
    <w:rsid w:val="3E0E56E5"/>
    <w:rsid w:val="3E1D0952"/>
    <w:rsid w:val="3E3775C4"/>
    <w:rsid w:val="3E4565FD"/>
    <w:rsid w:val="3E9714F9"/>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BFE3EE"/>
    <w:rsid w:val="3FC14EF2"/>
    <w:rsid w:val="3FC2169B"/>
    <w:rsid w:val="3FCFBF50"/>
    <w:rsid w:val="3FD7093F"/>
    <w:rsid w:val="3FDB4A07"/>
    <w:rsid w:val="3FEE7597"/>
    <w:rsid w:val="3FFBC61B"/>
    <w:rsid w:val="400060CE"/>
    <w:rsid w:val="401563C2"/>
    <w:rsid w:val="40376BAC"/>
    <w:rsid w:val="40453892"/>
    <w:rsid w:val="40471C80"/>
    <w:rsid w:val="40643143"/>
    <w:rsid w:val="40954FF4"/>
    <w:rsid w:val="409D5514"/>
    <w:rsid w:val="40A202A0"/>
    <w:rsid w:val="40AA4C70"/>
    <w:rsid w:val="40AD06B3"/>
    <w:rsid w:val="40D45C40"/>
    <w:rsid w:val="40E54486"/>
    <w:rsid w:val="411142FB"/>
    <w:rsid w:val="41325F04"/>
    <w:rsid w:val="41543EB0"/>
    <w:rsid w:val="4162610B"/>
    <w:rsid w:val="416E02F1"/>
    <w:rsid w:val="416F2A2F"/>
    <w:rsid w:val="417D2480"/>
    <w:rsid w:val="41B15010"/>
    <w:rsid w:val="41B917FB"/>
    <w:rsid w:val="41BB57DA"/>
    <w:rsid w:val="41C1370B"/>
    <w:rsid w:val="41C9161A"/>
    <w:rsid w:val="41CF2ADC"/>
    <w:rsid w:val="41E2613A"/>
    <w:rsid w:val="41F77CE6"/>
    <w:rsid w:val="41F8184D"/>
    <w:rsid w:val="42293D83"/>
    <w:rsid w:val="424E4D56"/>
    <w:rsid w:val="424F7184"/>
    <w:rsid w:val="42507406"/>
    <w:rsid w:val="42591393"/>
    <w:rsid w:val="42607CC3"/>
    <w:rsid w:val="42676BBA"/>
    <w:rsid w:val="4268251E"/>
    <w:rsid w:val="426C758D"/>
    <w:rsid w:val="426E643E"/>
    <w:rsid w:val="428B574A"/>
    <w:rsid w:val="42924546"/>
    <w:rsid w:val="42B61B69"/>
    <w:rsid w:val="42B81A6C"/>
    <w:rsid w:val="42D61A99"/>
    <w:rsid w:val="42E370C2"/>
    <w:rsid w:val="42E72CD4"/>
    <w:rsid w:val="432367DF"/>
    <w:rsid w:val="432446AB"/>
    <w:rsid w:val="43370F53"/>
    <w:rsid w:val="433D1DA0"/>
    <w:rsid w:val="4342254C"/>
    <w:rsid w:val="43677A21"/>
    <w:rsid w:val="437A6E9D"/>
    <w:rsid w:val="43934099"/>
    <w:rsid w:val="43973DF4"/>
    <w:rsid w:val="439FB944"/>
    <w:rsid w:val="43A37E1F"/>
    <w:rsid w:val="43AF03F6"/>
    <w:rsid w:val="43C20BB6"/>
    <w:rsid w:val="43CB5249"/>
    <w:rsid w:val="43E37974"/>
    <w:rsid w:val="44054227"/>
    <w:rsid w:val="440D6621"/>
    <w:rsid w:val="441205DB"/>
    <w:rsid w:val="441E2591"/>
    <w:rsid w:val="441F71D0"/>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D0B8E"/>
    <w:rsid w:val="450C5857"/>
    <w:rsid w:val="451C4635"/>
    <w:rsid w:val="452A22D2"/>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3B3BEA"/>
    <w:rsid w:val="477F3710"/>
    <w:rsid w:val="4787691A"/>
    <w:rsid w:val="47BFD68B"/>
    <w:rsid w:val="47C54E8E"/>
    <w:rsid w:val="47EC1AC1"/>
    <w:rsid w:val="47EF0530"/>
    <w:rsid w:val="47EF15B1"/>
    <w:rsid w:val="47F44E24"/>
    <w:rsid w:val="47FF2F96"/>
    <w:rsid w:val="47FF31A5"/>
    <w:rsid w:val="48005341"/>
    <w:rsid w:val="480D2EE5"/>
    <w:rsid w:val="482573EB"/>
    <w:rsid w:val="48287A01"/>
    <w:rsid w:val="482A3149"/>
    <w:rsid w:val="48305AAC"/>
    <w:rsid w:val="483F5D48"/>
    <w:rsid w:val="48463503"/>
    <w:rsid w:val="484F2A68"/>
    <w:rsid w:val="48531F4C"/>
    <w:rsid w:val="485E1AE5"/>
    <w:rsid w:val="48625DE7"/>
    <w:rsid w:val="48645AFB"/>
    <w:rsid w:val="487F0532"/>
    <w:rsid w:val="4883458D"/>
    <w:rsid w:val="48C4659A"/>
    <w:rsid w:val="48D676F2"/>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D12DBB"/>
    <w:rsid w:val="49D54A18"/>
    <w:rsid w:val="49DB46BE"/>
    <w:rsid w:val="49E46EA6"/>
    <w:rsid w:val="49FB4FB3"/>
    <w:rsid w:val="4A033B7D"/>
    <w:rsid w:val="4A0F32E7"/>
    <w:rsid w:val="4A1E34CC"/>
    <w:rsid w:val="4A221AB4"/>
    <w:rsid w:val="4A224BA5"/>
    <w:rsid w:val="4A2B42BD"/>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924B09"/>
    <w:rsid w:val="4BA74DFA"/>
    <w:rsid w:val="4BAC27DD"/>
    <w:rsid w:val="4BB04FAA"/>
    <w:rsid w:val="4BB1377A"/>
    <w:rsid w:val="4BBE0E50"/>
    <w:rsid w:val="4BC11CB7"/>
    <w:rsid w:val="4BC352D8"/>
    <w:rsid w:val="4BCA26AA"/>
    <w:rsid w:val="4BCE03ED"/>
    <w:rsid w:val="4BFB285F"/>
    <w:rsid w:val="4C003135"/>
    <w:rsid w:val="4C013913"/>
    <w:rsid w:val="4C1646FF"/>
    <w:rsid w:val="4C226976"/>
    <w:rsid w:val="4C255D6C"/>
    <w:rsid w:val="4C287C58"/>
    <w:rsid w:val="4C496C68"/>
    <w:rsid w:val="4C4B70BB"/>
    <w:rsid w:val="4C4D6E4D"/>
    <w:rsid w:val="4C61521F"/>
    <w:rsid w:val="4C792F14"/>
    <w:rsid w:val="4C7E7582"/>
    <w:rsid w:val="4C8510EE"/>
    <w:rsid w:val="4C902C55"/>
    <w:rsid w:val="4CA43A25"/>
    <w:rsid w:val="4CA8501B"/>
    <w:rsid w:val="4CBC54B9"/>
    <w:rsid w:val="4D1C2DC8"/>
    <w:rsid w:val="4D452356"/>
    <w:rsid w:val="4D453A21"/>
    <w:rsid w:val="4D530ADD"/>
    <w:rsid w:val="4D5A1E5F"/>
    <w:rsid w:val="4D9D4D15"/>
    <w:rsid w:val="4DA54B5C"/>
    <w:rsid w:val="4DAE0631"/>
    <w:rsid w:val="4DBC5634"/>
    <w:rsid w:val="4DEC5BD3"/>
    <w:rsid w:val="4DFA408F"/>
    <w:rsid w:val="4E07374B"/>
    <w:rsid w:val="4E0F76A0"/>
    <w:rsid w:val="4E5C069D"/>
    <w:rsid w:val="4E5D460E"/>
    <w:rsid w:val="4E633A13"/>
    <w:rsid w:val="4E7D3BF0"/>
    <w:rsid w:val="4E95754C"/>
    <w:rsid w:val="4E9B3918"/>
    <w:rsid w:val="4EB75363"/>
    <w:rsid w:val="4F0922E0"/>
    <w:rsid w:val="4F0E74E4"/>
    <w:rsid w:val="4F112C00"/>
    <w:rsid w:val="4F220E71"/>
    <w:rsid w:val="4F2C0927"/>
    <w:rsid w:val="4F483C6B"/>
    <w:rsid w:val="4F5A5138"/>
    <w:rsid w:val="4F6E0088"/>
    <w:rsid w:val="4F73375E"/>
    <w:rsid w:val="4F770A64"/>
    <w:rsid w:val="4F8E3C09"/>
    <w:rsid w:val="4F9A23CE"/>
    <w:rsid w:val="4FD004E9"/>
    <w:rsid w:val="4FD275EC"/>
    <w:rsid w:val="4FD5298E"/>
    <w:rsid w:val="4FDC66EE"/>
    <w:rsid w:val="4FEF7931"/>
    <w:rsid w:val="4FF550BD"/>
    <w:rsid w:val="4FF7CA50"/>
    <w:rsid w:val="50016325"/>
    <w:rsid w:val="50054535"/>
    <w:rsid w:val="500D6DA7"/>
    <w:rsid w:val="50172EE0"/>
    <w:rsid w:val="501C772A"/>
    <w:rsid w:val="50202B9E"/>
    <w:rsid w:val="50265CE3"/>
    <w:rsid w:val="50355BA0"/>
    <w:rsid w:val="503E5CD4"/>
    <w:rsid w:val="5051105B"/>
    <w:rsid w:val="505DC98D"/>
    <w:rsid w:val="506C7C75"/>
    <w:rsid w:val="50722108"/>
    <w:rsid w:val="5072457C"/>
    <w:rsid w:val="50795EBC"/>
    <w:rsid w:val="507A0357"/>
    <w:rsid w:val="50B83683"/>
    <w:rsid w:val="50E00779"/>
    <w:rsid w:val="50EC5299"/>
    <w:rsid w:val="50EE444E"/>
    <w:rsid w:val="51041D7B"/>
    <w:rsid w:val="510F3A86"/>
    <w:rsid w:val="51135712"/>
    <w:rsid w:val="51390CEF"/>
    <w:rsid w:val="51452B0B"/>
    <w:rsid w:val="51A90E98"/>
    <w:rsid w:val="51AB7117"/>
    <w:rsid w:val="51BD3E49"/>
    <w:rsid w:val="51C904BB"/>
    <w:rsid w:val="51DB3C45"/>
    <w:rsid w:val="520C4DC4"/>
    <w:rsid w:val="52337800"/>
    <w:rsid w:val="52434F2D"/>
    <w:rsid w:val="5245168D"/>
    <w:rsid w:val="525F2C65"/>
    <w:rsid w:val="525F5A7D"/>
    <w:rsid w:val="527B5C87"/>
    <w:rsid w:val="5298193C"/>
    <w:rsid w:val="52A149B9"/>
    <w:rsid w:val="52C33865"/>
    <w:rsid w:val="52DA0BF6"/>
    <w:rsid w:val="52EB1AE4"/>
    <w:rsid w:val="52FF511D"/>
    <w:rsid w:val="530128AB"/>
    <w:rsid w:val="5306085A"/>
    <w:rsid w:val="531E5443"/>
    <w:rsid w:val="53211D72"/>
    <w:rsid w:val="53245F89"/>
    <w:rsid w:val="53303CB8"/>
    <w:rsid w:val="533C6DEA"/>
    <w:rsid w:val="534327B1"/>
    <w:rsid w:val="536C3CD4"/>
    <w:rsid w:val="53BD65FC"/>
    <w:rsid w:val="54340CAF"/>
    <w:rsid w:val="54363813"/>
    <w:rsid w:val="545568EB"/>
    <w:rsid w:val="54695C80"/>
    <w:rsid w:val="546F571F"/>
    <w:rsid w:val="54881577"/>
    <w:rsid w:val="549E77D2"/>
    <w:rsid w:val="54B576DE"/>
    <w:rsid w:val="54B57839"/>
    <w:rsid w:val="54BD5658"/>
    <w:rsid w:val="54C0627B"/>
    <w:rsid w:val="54E10371"/>
    <w:rsid w:val="54E104D3"/>
    <w:rsid w:val="54F05B0B"/>
    <w:rsid w:val="55013843"/>
    <w:rsid w:val="551F5525"/>
    <w:rsid w:val="553C28FF"/>
    <w:rsid w:val="5544408B"/>
    <w:rsid w:val="556B7BB5"/>
    <w:rsid w:val="55806ED8"/>
    <w:rsid w:val="5595273D"/>
    <w:rsid w:val="559F4667"/>
    <w:rsid w:val="55A14DCF"/>
    <w:rsid w:val="55A27FF4"/>
    <w:rsid w:val="55AA5A00"/>
    <w:rsid w:val="55FD2714"/>
    <w:rsid w:val="561B749F"/>
    <w:rsid w:val="562B1FCE"/>
    <w:rsid w:val="562B66CB"/>
    <w:rsid w:val="56446D80"/>
    <w:rsid w:val="56626308"/>
    <w:rsid w:val="56682639"/>
    <w:rsid w:val="56B363CB"/>
    <w:rsid w:val="56BA629E"/>
    <w:rsid w:val="56C027B9"/>
    <w:rsid w:val="56C51151"/>
    <w:rsid w:val="56D0014A"/>
    <w:rsid w:val="56E13C71"/>
    <w:rsid w:val="56EB3FA6"/>
    <w:rsid w:val="57044630"/>
    <w:rsid w:val="57301F70"/>
    <w:rsid w:val="577BCC66"/>
    <w:rsid w:val="578616C7"/>
    <w:rsid w:val="578C274B"/>
    <w:rsid w:val="579C2E51"/>
    <w:rsid w:val="57AA5DA7"/>
    <w:rsid w:val="57B73179"/>
    <w:rsid w:val="57BA773A"/>
    <w:rsid w:val="57C931E5"/>
    <w:rsid w:val="57D4618D"/>
    <w:rsid w:val="57F05EC3"/>
    <w:rsid w:val="57FDFF84"/>
    <w:rsid w:val="58137757"/>
    <w:rsid w:val="58647913"/>
    <w:rsid w:val="586C74C7"/>
    <w:rsid w:val="587031FB"/>
    <w:rsid w:val="587F7544"/>
    <w:rsid w:val="5882581D"/>
    <w:rsid w:val="588A274D"/>
    <w:rsid w:val="58C170CF"/>
    <w:rsid w:val="58CE1005"/>
    <w:rsid w:val="58D170FA"/>
    <w:rsid w:val="58DF3D9A"/>
    <w:rsid w:val="58E14F46"/>
    <w:rsid w:val="59140A5F"/>
    <w:rsid w:val="5925167D"/>
    <w:rsid w:val="594851A3"/>
    <w:rsid w:val="596033E7"/>
    <w:rsid w:val="596A0527"/>
    <w:rsid w:val="598307B6"/>
    <w:rsid w:val="59A36680"/>
    <w:rsid w:val="59AC331C"/>
    <w:rsid w:val="59C23984"/>
    <w:rsid w:val="59D7179A"/>
    <w:rsid w:val="59F46672"/>
    <w:rsid w:val="5A0751DF"/>
    <w:rsid w:val="5A08558A"/>
    <w:rsid w:val="5A172293"/>
    <w:rsid w:val="5A345C0E"/>
    <w:rsid w:val="5A36690C"/>
    <w:rsid w:val="5A494757"/>
    <w:rsid w:val="5A494B51"/>
    <w:rsid w:val="5A495074"/>
    <w:rsid w:val="5A6050DA"/>
    <w:rsid w:val="5A641F5A"/>
    <w:rsid w:val="5A6C3F68"/>
    <w:rsid w:val="5A721648"/>
    <w:rsid w:val="5A78530D"/>
    <w:rsid w:val="5A8DF71C"/>
    <w:rsid w:val="5A9364AA"/>
    <w:rsid w:val="5A975A33"/>
    <w:rsid w:val="5A9E094C"/>
    <w:rsid w:val="5A9E73DC"/>
    <w:rsid w:val="5AA42DE8"/>
    <w:rsid w:val="5AA615B2"/>
    <w:rsid w:val="5ABF316B"/>
    <w:rsid w:val="5ACE9BA4"/>
    <w:rsid w:val="5AD7756A"/>
    <w:rsid w:val="5B073095"/>
    <w:rsid w:val="5B405B84"/>
    <w:rsid w:val="5B531B57"/>
    <w:rsid w:val="5B65364C"/>
    <w:rsid w:val="5B66D02D"/>
    <w:rsid w:val="5B7261F7"/>
    <w:rsid w:val="5B83645F"/>
    <w:rsid w:val="5B8E7542"/>
    <w:rsid w:val="5B9C526A"/>
    <w:rsid w:val="5BA755AE"/>
    <w:rsid w:val="5BB25FE9"/>
    <w:rsid w:val="5BB6268A"/>
    <w:rsid w:val="5BC64B0C"/>
    <w:rsid w:val="5BF131EC"/>
    <w:rsid w:val="5BF62668"/>
    <w:rsid w:val="5BFBE588"/>
    <w:rsid w:val="5BFE48C0"/>
    <w:rsid w:val="5BFF5E87"/>
    <w:rsid w:val="5C1E1AFA"/>
    <w:rsid w:val="5C2B4EFB"/>
    <w:rsid w:val="5C5044CE"/>
    <w:rsid w:val="5C534688"/>
    <w:rsid w:val="5C570E48"/>
    <w:rsid w:val="5C6376C4"/>
    <w:rsid w:val="5C683FC9"/>
    <w:rsid w:val="5C6E5495"/>
    <w:rsid w:val="5C775F55"/>
    <w:rsid w:val="5C7D380C"/>
    <w:rsid w:val="5CA00B43"/>
    <w:rsid w:val="5CBD41C9"/>
    <w:rsid w:val="5CC82248"/>
    <w:rsid w:val="5CCB555B"/>
    <w:rsid w:val="5CE2002D"/>
    <w:rsid w:val="5CE989BB"/>
    <w:rsid w:val="5CF76FE4"/>
    <w:rsid w:val="5D032927"/>
    <w:rsid w:val="5D050F60"/>
    <w:rsid w:val="5D226E26"/>
    <w:rsid w:val="5D2B6741"/>
    <w:rsid w:val="5D374294"/>
    <w:rsid w:val="5D3C25A7"/>
    <w:rsid w:val="5D4D6706"/>
    <w:rsid w:val="5D655DA2"/>
    <w:rsid w:val="5D8461BB"/>
    <w:rsid w:val="5DA91DAF"/>
    <w:rsid w:val="5DBEE6EB"/>
    <w:rsid w:val="5DD72E67"/>
    <w:rsid w:val="5DDA1A89"/>
    <w:rsid w:val="5DE00481"/>
    <w:rsid w:val="5DF32230"/>
    <w:rsid w:val="5DF52C1C"/>
    <w:rsid w:val="5E117E2C"/>
    <w:rsid w:val="5E266FD1"/>
    <w:rsid w:val="5E6231C2"/>
    <w:rsid w:val="5E77ADF7"/>
    <w:rsid w:val="5E7F4C05"/>
    <w:rsid w:val="5E955599"/>
    <w:rsid w:val="5EA740E5"/>
    <w:rsid w:val="5EBFA3DA"/>
    <w:rsid w:val="5EE6549D"/>
    <w:rsid w:val="5EE74719"/>
    <w:rsid w:val="5EE7693D"/>
    <w:rsid w:val="5EFC3E26"/>
    <w:rsid w:val="5F09110B"/>
    <w:rsid w:val="5F0C6534"/>
    <w:rsid w:val="5F1B13C2"/>
    <w:rsid w:val="5F206837"/>
    <w:rsid w:val="5F296D83"/>
    <w:rsid w:val="5F2F9A9B"/>
    <w:rsid w:val="5F324FDB"/>
    <w:rsid w:val="5F336443"/>
    <w:rsid w:val="5F3A587A"/>
    <w:rsid w:val="5F5F66B6"/>
    <w:rsid w:val="5F769B47"/>
    <w:rsid w:val="5F7D1182"/>
    <w:rsid w:val="5F945056"/>
    <w:rsid w:val="5F9F557C"/>
    <w:rsid w:val="5F9FC317"/>
    <w:rsid w:val="5FA7FD1B"/>
    <w:rsid w:val="5FAE4F8E"/>
    <w:rsid w:val="5FAF515E"/>
    <w:rsid w:val="5FB56D33"/>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E2662F"/>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0F38CD"/>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833E4F"/>
    <w:rsid w:val="63AA9709"/>
    <w:rsid w:val="63C13032"/>
    <w:rsid w:val="63CC4876"/>
    <w:rsid w:val="63CF61F5"/>
    <w:rsid w:val="63F298C7"/>
    <w:rsid w:val="64015267"/>
    <w:rsid w:val="640202B0"/>
    <w:rsid w:val="642158B8"/>
    <w:rsid w:val="64256E1C"/>
    <w:rsid w:val="642732A1"/>
    <w:rsid w:val="642D72A3"/>
    <w:rsid w:val="64300B2F"/>
    <w:rsid w:val="64494765"/>
    <w:rsid w:val="644B5969"/>
    <w:rsid w:val="647A74F6"/>
    <w:rsid w:val="647E189B"/>
    <w:rsid w:val="6490429B"/>
    <w:rsid w:val="64906E0C"/>
    <w:rsid w:val="64964044"/>
    <w:rsid w:val="64A35284"/>
    <w:rsid w:val="64AA5431"/>
    <w:rsid w:val="64B258F4"/>
    <w:rsid w:val="64BD3A14"/>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8453C"/>
    <w:rsid w:val="657C0ECD"/>
    <w:rsid w:val="659D391C"/>
    <w:rsid w:val="65C80615"/>
    <w:rsid w:val="65EB0F6D"/>
    <w:rsid w:val="66003207"/>
    <w:rsid w:val="6610477E"/>
    <w:rsid w:val="661752D9"/>
    <w:rsid w:val="661E9429"/>
    <w:rsid w:val="662315AA"/>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D4FD2"/>
    <w:rsid w:val="671A4DDD"/>
    <w:rsid w:val="672700DA"/>
    <w:rsid w:val="67277FC8"/>
    <w:rsid w:val="673A5CF7"/>
    <w:rsid w:val="67672ABA"/>
    <w:rsid w:val="677B4C28"/>
    <w:rsid w:val="679B084A"/>
    <w:rsid w:val="679C46F5"/>
    <w:rsid w:val="67B51C00"/>
    <w:rsid w:val="67BA6A67"/>
    <w:rsid w:val="67CF591E"/>
    <w:rsid w:val="67D665DC"/>
    <w:rsid w:val="67D718EC"/>
    <w:rsid w:val="67D85628"/>
    <w:rsid w:val="67DDB41F"/>
    <w:rsid w:val="67E12EC3"/>
    <w:rsid w:val="67FBC68B"/>
    <w:rsid w:val="6804273A"/>
    <w:rsid w:val="68046A5D"/>
    <w:rsid w:val="680C2A36"/>
    <w:rsid w:val="680C7AA7"/>
    <w:rsid w:val="682C4EAE"/>
    <w:rsid w:val="683E368C"/>
    <w:rsid w:val="6847596D"/>
    <w:rsid w:val="684A6F24"/>
    <w:rsid w:val="68550DB9"/>
    <w:rsid w:val="6856768B"/>
    <w:rsid w:val="6857350C"/>
    <w:rsid w:val="685773B0"/>
    <w:rsid w:val="685E0FA3"/>
    <w:rsid w:val="686C2160"/>
    <w:rsid w:val="686E391E"/>
    <w:rsid w:val="687415F0"/>
    <w:rsid w:val="688D1A9A"/>
    <w:rsid w:val="68983F3F"/>
    <w:rsid w:val="689B1589"/>
    <w:rsid w:val="68A6730E"/>
    <w:rsid w:val="68C74BFD"/>
    <w:rsid w:val="68C76521"/>
    <w:rsid w:val="68DA0494"/>
    <w:rsid w:val="68E143E7"/>
    <w:rsid w:val="68E464BC"/>
    <w:rsid w:val="68E67A18"/>
    <w:rsid w:val="68EA195C"/>
    <w:rsid w:val="68F36AD9"/>
    <w:rsid w:val="691D38B9"/>
    <w:rsid w:val="69413541"/>
    <w:rsid w:val="695E74D5"/>
    <w:rsid w:val="69797C2C"/>
    <w:rsid w:val="69983703"/>
    <w:rsid w:val="69B9178D"/>
    <w:rsid w:val="69BF060C"/>
    <w:rsid w:val="69D44E75"/>
    <w:rsid w:val="6A0A38E6"/>
    <w:rsid w:val="6A1750BE"/>
    <w:rsid w:val="6A2F624F"/>
    <w:rsid w:val="6A320CB0"/>
    <w:rsid w:val="6A507322"/>
    <w:rsid w:val="6A57FD62"/>
    <w:rsid w:val="6A5E00D8"/>
    <w:rsid w:val="6A724407"/>
    <w:rsid w:val="6A9F55FE"/>
    <w:rsid w:val="6ABA2CEC"/>
    <w:rsid w:val="6ACF42D9"/>
    <w:rsid w:val="6ADF1CF0"/>
    <w:rsid w:val="6AED4904"/>
    <w:rsid w:val="6AF068CE"/>
    <w:rsid w:val="6AFC5C0F"/>
    <w:rsid w:val="6B027B91"/>
    <w:rsid w:val="6B100BC3"/>
    <w:rsid w:val="6B2146C1"/>
    <w:rsid w:val="6B241D9B"/>
    <w:rsid w:val="6B261242"/>
    <w:rsid w:val="6B3055CD"/>
    <w:rsid w:val="6B437A76"/>
    <w:rsid w:val="6B47388C"/>
    <w:rsid w:val="6B58643F"/>
    <w:rsid w:val="6B5A3D5E"/>
    <w:rsid w:val="6B674548"/>
    <w:rsid w:val="6B703E2D"/>
    <w:rsid w:val="6B9509BD"/>
    <w:rsid w:val="6B9F44A0"/>
    <w:rsid w:val="6BBB34CC"/>
    <w:rsid w:val="6BC94603"/>
    <w:rsid w:val="6BDF21DD"/>
    <w:rsid w:val="6BE794D5"/>
    <w:rsid w:val="6BEB7D63"/>
    <w:rsid w:val="6BF307A3"/>
    <w:rsid w:val="6BF71630"/>
    <w:rsid w:val="6BF82CA8"/>
    <w:rsid w:val="6BFFED4D"/>
    <w:rsid w:val="6C035105"/>
    <w:rsid w:val="6C044D7B"/>
    <w:rsid w:val="6C0A7675"/>
    <w:rsid w:val="6C11371B"/>
    <w:rsid w:val="6C155CA3"/>
    <w:rsid w:val="6C1954E5"/>
    <w:rsid w:val="6C30519E"/>
    <w:rsid w:val="6C340669"/>
    <w:rsid w:val="6C534B21"/>
    <w:rsid w:val="6C6F1644"/>
    <w:rsid w:val="6C745974"/>
    <w:rsid w:val="6CA83DF7"/>
    <w:rsid w:val="6CAD0E8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99AE8"/>
    <w:rsid w:val="6D7E7360"/>
    <w:rsid w:val="6D8B3C3B"/>
    <w:rsid w:val="6D967C55"/>
    <w:rsid w:val="6DA22EA8"/>
    <w:rsid w:val="6DA80A88"/>
    <w:rsid w:val="6DBC1843"/>
    <w:rsid w:val="6DBFA176"/>
    <w:rsid w:val="6DCB7E9A"/>
    <w:rsid w:val="6DCC641F"/>
    <w:rsid w:val="6DD144EC"/>
    <w:rsid w:val="6DED1C08"/>
    <w:rsid w:val="6DEE7A9D"/>
    <w:rsid w:val="6DF331D1"/>
    <w:rsid w:val="6DF70184"/>
    <w:rsid w:val="6E1C1ECF"/>
    <w:rsid w:val="6E207D23"/>
    <w:rsid w:val="6E480D43"/>
    <w:rsid w:val="6E6577FC"/>
    <w:rsid w:val="6E766906"/>
    <w:rsid w:val="6E82467D"/>
    <w:rsid w:val="6EBC1F7A"/>
    <w:rsid w:val="6EBE7D30"/>
    <w:rsid w:val="6EBF4EBD"/>
    <w:rsid w:val="6ED1305E"/>
    <w:rsid w:val="6EDE6175"/>
    <w:rsid w:val="6EE01391"/>
    <w:rsid w:val="6EE113A4"/>
    <w:rsid w:val="6EE26350"/>
    <w:rsid w:val="6EF8220D"/>
    <w:rsid w:val="6EFF0DCE"/>
    <w:rsid w:val="6F323F52"/>
    <w:rsid w:val="6F370614"/>
    <w:rsid w:val="6F5FD960"/>
    <w:rsid w:val="6F67321F"/>
    <w:rsid w:val="6F6C4A04"/>
    <w:rsid w:val="6F6DE763"/>
    <w:rsid w:val="6F7469B6"/>
    <w:rsid w:val="6F764B8A"/>
    <w:rsid w:val="6F7B99B1"/>
    <w:rsid w:val="6F7CA469"/>
    <w:rsid w:val="6F8F65A0"/>
    <w:rsid w:val="6F993118"/>
    <w:rsid w:val="6FB21CC1"/>
    <w:rsid w:val="6FB67CAC"/>
    <w:rsid w:val="6FB7F5B1"/>
    <w:rsid w:val="6FB924D4"/>
    <w:rsid w:val="6FCFD0A1"/>
    <w:rsid w:val="6FDF06C8"/>
    <w:rsid w:val="6FE8AD73"/>
    <w:rsid w:val="6FEFFC83"/>
    <w:rsid w:val="6FF5A2A5"/>
    <w:rsid w:val="6FF73C3B"/>
    <w:rsid w:val="701337DF"/>
    <w:rsid w:val="701D1A01"/>
    <w:rsid w:val="703C6F96"/>
    <w:rsid w:val="703E2E90"/>
    <w:rsid w:val="70437D9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E613F"/>
    <w:rsid w:val="717F3E80"/>
    <w:rsid w:val="718930E7"/>
    <w:rsid w:val="719122BF"/>
    <w:rsid w:val="71935C7D"/>
    <w:rsid w:val="71AA7681"/>
    <w:rsid w:val="71BC7EA6"/>
    <w:rsid w:val="71F11CAE"/>
    <w:rsid w:val="71FB9A8E"/>
    <w:rsid w:val="720B4B5F"/>
    <w:rsid w:val="721C4D44"/>
    <w:rsid w:val="722C4FDE"/>
    <w:rsid w:val="72752E54"/>
    <w:rsid w:val="72D77D91"/>
    <w:rsid w:val="72D826FE"/>
    <w:rsid w:val="72E075B5"/>
    <w:rsid w:val="72F92865"/>
    <w:rsid w:val="72FC1E33"/>
    <w:rsid w:val="73046DBD"/>
    <w:rsid w:val="73090D91"/>
    <w:rsid w:val="73114EB7"/>
    <w:rsid w:val="7332230D"/>
    <w:rsid w:val="733609EF"/>
    <w:rsid w:val="733A6D35"/>
    <w:rsid w:val="73671E3F"/>
    <w:rsid w:val="73786E36"/>
    <w:rsid w:val="737C0941"/>
    <w:rsid w:val="737C2861"/>
    <w:rsid w:val="73837BE8"/>
    <w:rsid w:val="7399429B"/>
    <w:rsid w:val="73BF0864"/>
    <w:rsid w:val="73C017F4"/>
    <w:rsid w:val="73CC268A"/>
    <w:rsid w:val="73D20DDE"/>
    <w:rsid w:val="73D30271"/>
    <w:rsid w:val="73DB5A09"/>
    <w:rsid w:val="73E464D7"/>
    <w:rsid w:val="73E7573C"/>
    <w:rsid w:val="73ECEC67"/>
    <w:rsid w:val="73F13AE7"/>
    <w:rsid w:val="73F36842"/>
    <w:rsid w:val="73FD4FAB"/>
    <w:rsid w:val="740B06CE"/>
    <w:rsid w:val="74143A67"/>
    <w:rsid w:val="74167847"/>
    <w:rsid w:val="741B5358"/>
    <w:rsid w:val="741F7631"/>
    <w:rsid w:val="742C648D"/>
    <w:rsid w:val="744A1D0A"/>
    <w:rsid w:val="744F1562"/>
    <w:rsid w:val="745FA1EB"/>
    <w:rsid w:val="746F1720"/>
    <w:rsid w:val="74916F5D"/>
    <w:rsid w:val="749530E7"/>
    <w:rsid w:val="74A05D67"/>
    <w:rsid w:val="74CF73FD"/>
    <w:rsid w:val="74DC7528"/>
    <w:rsid w:val="74E60778"/>
    <w:rsid w:val="74F1655B"/>
    <w:rsid w:val="75080F4E"/>
    <w:rsid w:val="750B39FC"/>
    <w:rsid w:val="7513388E"/>
    <w:rsid w:val="751E2DB2"/>
    <w:rsid w:val="7522359E"/>
    <w:rsid w:val="7532441A"/>
    <w:rsid w:val="753F4494"/>
    <w:rsid w:val="7549456C"/>
    <w:rsid w:val="755D381B"/>
    <w:rsid w:val="757E1090"/>
    <w:rsid w:val="759E4CA2"/>
    <w:rsid w:val="759E5E48"/>
    <w:rsid w:val="75A82AEB"/>
    <w:rsid w:val="75BF0D1E"/>
    <w:rsid w:val="75D25EEA"/>
    <w:rsid w:val="75D923B8"/>
    <w:rsid w:val="75EFE536"/>
    <w:rsid w:val="761105C8"/>
    <w:rsid w:val="7612407A"/>
    <w:rsid w:val="763F264A"/>
    <w:rsid w:val="765D2301"/>
    <w:rsid w:val="76652C2D"/>
    <w:rsid w:val="767A30CF"/>
    <w:rsid w:val="76824DA4"/>
    <w:rsid w:val="768F7938"/>
    <w:rsid w:val="769A3E41"/>
    <w:rsid w:val="76B45AA2"/>
    <w:rsid w:val="76BF600E"/>
    <w:rsid w:val="76BF608C"/>
    <w:rsid w:val="76C1367C"/>
    <w:rsid w:val="76C54C64"/>
    <w:rsid w:val="76D03950"/>
    <w:rsid w:val="76D04DF9"/>
    <w:rsid w:val="770FE942"/>
    <w:rsid w:val="771C566F"/>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D5090"/>
    <w:rsid w:val="77DE2CF7"/>
    <w:rsid w:val="77EFFA82"/>
    <w:rsid w:val="77FB556C"/>
    <w:rsid w:val="77FD5A05"/>
    <w:rsid w:val="77FF102E"/>
    <w:rsid w:val="77FF3264"/>
    <w:rsid w:val="77FFE1F3"/>
    <w:rsid w:val="7806439B"/>
    <w:rsid w:val="78156E80"/>
    <w:rsid w:val="78285FD3"/>
    <w:rsid w:val="78437DCE"/>
    <w:rsid w:val="786B48F0"/>
    <w:rsid w:val="787E7648"/>
    <w:rsid w:val="78966FCF"/>
    <w:rsid w:val="789822F5"/>
    <w:rsid w:val="78A236C7"/>
    <w:rsid w:val="78C52436"/>
    <w:rsid w:val="78F53995"/>
    <w:rsid w:val="790D37DC"/>
    <w:rsid w:val="792D2A7B"/>
    <w:rsid w:val="79357CA6"/>
    <w:rsid w:val="7936053E"/>
    <w:rsid w:val="793A6250"/>
    <w:rsid w:val="7956345A"/>
    <w:rsid w:val="79652465"/>
    <w:rsid w:val="796749D3"/>
    <w:rsid w:val="79912C69"/>
    <w:rsid w:val="799E6951"/>
    <w:rsid w:val="79BF3362"/>
    <w:rsid w:val="79E26883"/>
    <w:rsid w:val="79E62833"/>
    <w:rsid w:val="79E951A6"/>
    <w:rsid w:val="79FF0010"/>
    <w:rsid w:val="7A4A3D49"/>
    <w:rsid w:val="7A4C4606"/>
    <w:rsid w:val="7A5223BA"/>
    <w:rsid w:val="7A522FEA"/>
    <w:rsid w:val="7A7342EA"/>
    <w:rsid w:val="7A7418F1"/>
    <w:rsid w:val="7A7AAAB4"/>
    <w:rsid w:val="7A8B0FFA"/>
    <w:rsid w:val="7A8E5CE1"/>
    <w:rsid w:val="7A9F3973"/>
    <w:rsid w:val="7AA17C39"/>
    <w:rsid w:val="7AB2682C"/>
    <w:rsid w:val="7AB30E7E"/>
    <w:rsid w:val="7ABF21F4"/>
    <w:rsid w:val="7AC23C3A"/>
    <w:rsid w:val="7AD11063"/>
    <w:rsid w:val="7AD358D2"/>
    <w:rsid w:val="7B032B1C"/>
    <w:rsid w:val="7B173BFA"/>
    <w:rsid w:val="7B1C4980"/>
    <w:rsid w:val="7B3A2D1E"/>
    <w:rsid w:val="7B69C372"/>
    <w:rsid w:val="7B6D6A98"/>
    <w:rsid w:val="7B777F9E"/>
    <w:rsid w:val="7B7F22C5"/>
    <w:rsid w:val="7B9A0167"/>
    <w:rsid w:val="7B9A4DB4"/>
    <w:rsid w:val="7B9C4E24"/>
    <w:rsid w:val="7BA650C3"/>
    <w:rsid w:val="7BA75723"/>
    <w:rsid w:val="7BBD7DF9"/>
    <w:rsid w:val="7BC40188"/>
    <w:rsid w:val="7BC51B47"/>
    <w:rsid w:val="7BCE2BAB"/>
    <w:rsid w:val="7BD7928C"/>
    <w:rsid w:val="7BDD093B"/>
    <w:rsid w:val="7BF3812E"/>
    <w:rsid w:val="7BF413D8"/>
    <w:rsid w:val="7C101B96"/>
    <w:rsid w:val="7C2CFB24"/>
    <w:rsid w:val="7C764052"/>
    <w:rsid w:val="7C801F46"/>
    <w:rsid w:val="7C9F787F"/>
    <w:rsid w:val="7CBB40A0"/>
    <w:rsid w:val="7CCD4698"/>
    <w:rsid w:val="7CD10CAA"/>
    <w:rsid w:val="7CEFFB1C"/>
    <w:rsid w:val="7CFE983E"/>
    <w:rsid w:val="7CFEBE73"/>
    <w:rsid w:val="7CFF4A18"/>
    <w:rsid w:val="7D1C4CD8"/>
    <w:rsid w:val="7D217448"/>
    <w:rsid w:val="7D6EE7C1"/>
    <w:rsid w:val="7D793163"/>
    <w:rsid w:val="7D833C0B"/>
    <w:rsid w:val="7D8C6F97"/>
    <w:rsid w:val="7D900E94"/>
    <w:rsid w:val="7DC135CA"/>
    <w:rsid w:val="7DC41BD3"/>
    <w:rsid w:val="7DC7514A"/>
    <w:rsid w:val="7DCFBC93"/>
    <w:rsid w:val="7DD2457A"/>
    <w:rsid w:val="7DE54A3D"/>
    <w:rsid w:val="7DEF4B8A"/>
    <w:rsid w:val="7DFE4BDC"/>
    <w:rsid w:val="7E09207F"/>
    <w:rsid w:val="7E113B9C"/>
    <w:rsid w:val="7E153874"/>
    <w:rsid w:val="7E2C1F7D"/>
    <w:rsid w:val="7E306664"/>
    <w:rsid w:val="7E36371C"/>
    <w:rsid w:val="7E3D7441"/>
    <w:rsid w:val="7E4464CA"/>
    <w:rsid w:val="7E470FAD"/>
    <w:rsid w:val="7E516D00"/>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E2967"/>
    <w:rsid w:val="7F336431"/>
    <w:rsid w:val="7F3E04CE"/>
    <w:rsid w:val="7F405826"/>
    <w:rsid w:val="7F593F8D"/>
    <w:rsid w:val="7F5E1F6A"/>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8F9D81"/>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14"/>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56</TotalTime>
  <ScaleCrop>false</ScaleCrop>
  <LinksUpToDate>false</LinksUpToDate>
  <CharactersWithSpaces>10574</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Luyang Zhao-CMCC</cp:lastModifiedBy>
  <cp:lastPrinted>2018-10-02T14:47:00Z</cp:lastPrinted>
  <dcterms:modified xsi:type="dcterms:W3CDTF">2024-05-10T15:30:44Z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678B00240E2C4A07853B39F7902F3BCA_13</vt:lpwstr>
  </property>
</Properties>
</file>